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rPr>
          <w:rFonts w:ascii="Calibri" w:cs="Calibri" w:eastAsia="Calibri" w:hAnsi="Calibri"/>
          <w:b/>
          <w:bCs/>
          <w:color w:val="0F1B2D"/>
          <w:spacing w:val="80"/>
          <w:sz w:val="28"/>
          <w:szCs w:val="28"/>
        </w:rPr>
        <w:t xml:space="preserve">CONNVERTEX</w:t>
      </w:r>
    </w:p>
    <w:p>
      <w:pPr>
        <w:pBdr>
          <w:bottom w:val="single" w:color="16A34A" w:sz="24" w:space="4"/>
        </w:pBdr>
        <w:spacing w:after="400" w:before="0"/>
      </w:pPr>
      <w:r>
        <w:rPr>
          <w:rFonts w:ascii="Calibri" w:cs="Calibri" w:eastAsia="Calibri" w:hAnsi="Calibri"/>
          <w:i/>
          <w:iCs/>
          <w:color w:val="64748B"/>
          <w:sz w:val="20"/>
          <w:szCs w:val="20"/>
        </w:rPr>
        <w:t xml:space="preserve">Cybersecurity + Digital Services for Government</w:t>
      </w:r>
    </w:p>
    <w:p>
      <w:pPr>
        <w:spacing w:after="160" w:before="1600"/>
      </w:pPr>
      <w:r>
        <w:rPr>
          <w:rFonts w:ascii="Calibri" w:cs="Calibri" w:eastAsia="Calibri" w:hAnsi="Calibri"/>
          <w:b/>
          <w:bCs/>
          <w:color w:val="16A34A"/>
          <w:spacing w:val="80"/>
          <w:sz w:val="20"/>
          <w:szCs w:val="20"/>
        </w:rPr>
        <w:t xml:space="preserve">STATEMENT OF WORK  ·  TEMPLATE  ·  v1.0</w:t>
      </w:r>
    </w:p>
    <w:p>
      <w:pPr>
        <w:spacing w:after="200"/>
      </w:pPr>
      <w:r>
        <w:rPr>
          <w:rFonts w:ascii="Calibri" w:cs="Calibri" w:eastAsia="Calibri" w:hAnsi="Calibri"/>
          <w:b/>
          <w:bCs/>
          <w:color w:val="0F1B2D"/>
          <w:sz w:val="56"/>
          <w:szCs w:val="56"/>
        </w:rPr>
        <w:t xml:space="preserve">vCISO Statement of Work</w:t>
      </w:r>
    </w:p>
    <w:p>
      <w:pPr>
        <w:spacing w:after="600"/>
      </w:pPr>
      <w:r>
        <w:rPr>
          <w:rFonts w:ascii="Calibri" w:cs="Calibri" w:eastAsia="Calibri" w:hAnsi="Calibri"/>
          <w:color w:val="334155"/>
          <w:sz w:val="26"/>
          <w:szCs w:val="26"/>
        </w:rPr>
        <w:t xml:space="preserve">Standard tier · Twenty hours per week · Monthly cadence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top"/>
          </w:tcPr>
          <w:p>
            <w:pPr>
              <w:spacing w:after="0" w:line="260"/>
            </w:pPr>
            <w:r>
              <w:rPr>
                <w:rFonts w:ascii="Calibri" w:cs="Calibri" w:eastAsia="Calibri" w:hAnsi="Calibri"/>
                <w:b/>
                <w:bCs/>
                <w:color w:val="A7F3D0"/>
                <w:sz w:val="18"/>
                <w:szCs w:val="18"/>
              </w:rPr>
              <w:t xml:space="preserve">BETWEEN</w:t>
            </w:r>
          </w:p>
        </w:tc>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top"/>
          </w:tcPr>
          <w:p>
            <w:pPr>
              <w:spacing w:after="0" w:line="260"/>
            </w:pPr>
            <w:r>
              <w:rPr>
                <w:rFonts w:ascii="Calibri" w:cs="Calibri" w:eastAsia="Calibri" w:hAnsi="Calibri"/>
                <w:b/>
                <w:bCs/>
                <w:color w:val="A7F3D0"/>
                <w:sz w:val="18"/>
                <w:szCs w:val="18"/>
              </w:rPr>
              <w:t xml:space="preserve">AND</w:t>
            </w:r>
          </w:p>
        </w:tc>
      </w:tr>
      <w:tr>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top"/>
          </w:tcPr>
          <w:p>
            <w:r>
              <w:rPr>
                <w:rFonts w:ascii="Calibri" w:cs="Calibri" w:eastAsia="Calibri" w:hAnsi="Calibri"/>
                <w:b/>
                <w:bCs/>
                <w:color w:val="FFFFFF"/>
                <w:sz w:val="26"/>
                <w:szCs w:val="26"/>
              </w:rPr>
              <w:t xml:space="preserve">Connvertex LLC</w:t>
            </w:r>
          </w:p>
          <w:p>
            <w:r>
              <w:rPr>
                <w:rFonts w:ascii="Calibri" w:cs="Calibri" w:eastAsia="Calibri" w:hAnsi="Calibri"/>
                <w:i/>
                <w:iCs/>
                <w:color w:val="CBD5E1"/>
                <w:sz w:val="18"/>
                <w:szCs w:val="18"/>
              </w:rPr>
              <w:t xml:space="preserve">(Service Provider)</w:t>
            </w:r>
          </w:p>
        </w:tc>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top"/>
          </w:tcPr>
          <w:p>
            <w:r>
              <w:rPr>
                <w:rFonts w:ascii="Calibri" w:cs="Calibri" w:eastAsia="Calibri" w:hAnsi="Calibri"/>
                <w:b/>
                <w:bCs/>
                <w:color w:val="FFFFFF"/>
                <w:sz w:val="26"/>
                <w:szCs w:val="26"/>
              </w:rPr>
              <w:t xml:space="preserve">[CLIENT LEGAL NAME]</w:t>
            </w:r>
          </w:p>
          <w:p>
            <w:r>
              <w:rPr>
                <w:rFonts w:ascii="Calibri" w:cs="Calibri" w:eastAsia="Calibri" w:hAnsi="Calibri"/>
                <w:i/>
                <w:iCs/>
                <w:color w:val="CBD5E1"/>
                <w:sz w:val="18"/>
                <w:szCs w:val="18"/>
              </w:rPr>
              <w:t xml:space="preserve">(Client)</w:t>
            </w:r>
          </w:p>
        </w:tc>
      </w:tr>
    </w:tbl>
    <w:p>
      <w:pPr>
        <w:spacing w:before="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SOW NUMBER</w:t>
            </w:r>
          </w:p>
        </w:tc>
        <w:tc>
          <w:tcPr>
            <w:tcW w:type="dxa" w:w="234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EFFECTIVE DATE</w:t>
            </w:r>
          </w:p>
        </w:tc>
        <w:tc>
          <w:tcPr>
            <w:tcW w:type="dxa" w:w="234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INITIAL TERM</w:t>
            </w:r>
          </w:p>
        </w:tc>
        <w:tc>
          <w:tcPr>
            <w:tcW w:type="dxa" w:w="234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MSA REFERENCE</w:t>
            </w:r>
          </w:p>
        </w:tc>
      </w:tr>
      <w:tr>
        <w:tc>
          <w:tcPr>
            <w:tcW w:type="dxa" w:w="234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[SOW-YYYY-NNN]</w:t>
            </w:r>
          </w:p>
        </w:tc>
        <w:tc>
          <w:tcPr>
            <w:tcW w:type="dxa" w:w="234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[YYYY-MM-DD]</w:t>
            </w:r>
          </w:p>
        </w:tc>
        <w:tc>
          <w:tcPr>
            <w:tcW w:type="dxa" w:w="234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[12 months]</w:t>
            </w:r>
          </w:p>
        </w:tc>
        <w:tc>
          <w:tcPr>
            <w:tcW w:type="dxa" w:w="234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[MSA dated YYYY-MM-DD]</w:t>
            </w:r>
          </w:p>
        </w:tc>
      </w:tr>
    </w:tbl>
    <w:p>
      <w:pPr>
        <w:spacing w:before="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B1524" w:val="clear"/>
            <w:tcMar>
              <w:top w:type="dxa" w:w="100"/>
              <w:left w:type="dxa" w:w="160"/>
              <w:bottom w:type="dxa" w:w="100"/>
              <w:right w:type="dxa" w:w="160"/>
            </w:tcMar>
          </w:tcPr>
          <w:p>
            <w:r>
              <w:rPr>
                <w:rFonts w:ascii="Calibri" w:cs="Calibri" w:eastAsia="Calibri" w:hAnsi="Calibri"/>
                <w:b/>
                <w:bCs/>
                <w:color w:val="A7F3D0"/>
                <w:spacing w:val="80"/>
                <w:sz w:val="18"/>
                <w:szCs w:val="18"/>
              </w:rPr>
              <w:t xml:space="preserve">CLASSIFICATION    </w:t>
            </w:r>
            <w:r>
              <w:rPr>
                <w:rFonts w:ascii="Calibri" w:cs="Calibri" w:eastAsia="Calibri" w:hAnsi="Calibri"/>
                <w:b/>
                <w:bCs/>
                <w:color w:val="FFFFFF"/>
                <w:sz w:val="20"/>
                <w:szCs w:val="20"/>
              </w:rPr>
              <w:t xml:space="preserve">CONFIDENTIAL — Parties and Counsel only</w:t>
            </w:r>
          </w:p>
        </w:tc>
      </w:tr>
    </w:tbl>
    <w:p>
      <w:r>
        <w:br w:type="page"/>
      </w:r>
    </w:p>
    <w:p>
      <w:pPr>
        <w:spacing w:after="60" w:before="120"/>
      </w:pPr>
      <w:r>
        <w:rPr>
          <w:rFonts w:ascii="Calibri" w:cs="Calibri" w:eastAsia="Calibri" w:hAnsi="Calibri"/>
          <w:b/>
          <w:bCs/>
          <w:color w:val="16A34A"/>
          <w:spacing w:val="60"/>
          <w:sz w:val="18"/>
          <w:szCs w:val="18"/>
        </w:rPr>
        <w:t xml:space="preserve">SECTION 01</w:t>
      </w:r>
    </w:p>
    <w:p>
      <w:pPr>
        <w:pStyle w:val="Heading1"/>
        <w:spacing w:after="200" w:before="480"/>
      </w:pPr>
      <w:r>
        <w:rPr>
          <w:rFonts w:ascii="Calibri" w:cs="Calibri" w:eastAsia="Calibri" w:hAnsi="Calibri"/>
          <w:b/>
          <w:bCs/>
          <w:color w:val="0F1B2D"/>
          <w:sz w:val="40"/>
          <w:szCs w:val="40"/>
        </w:rPr>
        <w:t xml:space="preserve">Parties and agreement structure</w:t>
      </w:r>
    </w:p>
    <w:p>
      <w:pPr>
        <w:spacing w:after="120" w:line="300"/>
      </w:pPr>
      <w:r>
        <w:rPr>
          <w:rFonts w:ascii="Calibri" w:cs="Calibri" w:eastAsia="Calibri" w:hAnsi="Calibri"/>
          <w:b w:val="false"/>
          <w:bCs w:val="false"/>
          <w:i w:val="false"/>
          <w:iCs w:val="false"/>
          <w:color w:val="334155"/>
          <w:sz w:val="22"/>
          <w:szCs w:val="22"/>
        </w:rPr>
        <w:t xml:space="preserve">Who is party to this SOW and how it sits underneath the governing Master Services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EF3C7" w:sz="4"/>
              <w:left w:val="single" w:color="D97706" w:sz="24"/>
              <w:bottom w:val="single" w:color="FEF3C7" w:sz="4"/>
              <w:right w:val="single" w:color="FEF3C7" w:sz="4"/>
            </w:tcBorders>
            <w:shd w:fill="FEF3C7" w:val="clear"/>
            <w:tcMar>
              <w:top w:type="dxa" w:w="200"/>
              <w:left w:type="dxa" w:w="280"/>
              <w:bottom w:type="dxa" w:w="200"/>
              <w:right w:type="dxa" w:w="280"/>
            </w:tcMar>
          </w:tcPr>
          <w:p>
            <w:r>
              <w:rPr>
                <w:rFonts w:ascii="Calibri" w:cs="Calibri" w:eastAsia="Calibri" w:hAnsi="Calibri"/>
                <w:b/>
                <w:bCs/>
                <w:color w:val="0F1B2D"/>
                <w:spacing w:val="60"/>
                <w:sz w:val="18"/>
                <w:szCs w:val="18"/>
              </w:rPr>
              <w:t xml:space="preserve">TEMPLATE NOTICE</w:t>
            </w:r>
          </w:p>
          <w:p>
            <w:pPr>
              <w:spacing w:before="120"/>
            </w:pPr>
            <w:r>
              <w:rPr>
                <w:rFonts w:ascii="Calibri" w:cs="Calibri" w:eastAsia="Calibri" w:hAnsi="Calibri"/>
                <w:color w:val="334155"/>
                <w:sz w:val="20"/>
                <w:szCs w:val="20"/>
              </w:rPr>
              <w:t xml:space="preserve">This document is a template. Language is a business-friendly default and is not legal advice. Client and Connvertex counsel should review before first use. Fields in [BRACKETS] are placeholders to be completed per engagement.</w:t>
            </w:r>
          </w:p>
        </w:tc>
      </w:tr>
    </w:tbl>
    <w:p>
      <w:pPr>
        <w:spacing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SERVICE PROVIDER</w:t>
            </w:r>
          </w:p>
        </w:tc>
        <w:tc>
          <w:tcPr>
            <w:tcW w:type="dxa" w:w="468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CLIENT</w:t>
            </w:r>
          </w:p>
        </w:tc>
      </w:tr>
      <w:tr>
        <w:tc>
          <w:tcPr>
            <w:tcW w:type="dxa" w:w="468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r>
              <w:rPr>
                <w:rFonts w:ascii="Calibri" w:cs="Calibri" w:eastAsia="Calibri" w:hAnsi="Calibri"/>
                <w:b/>
                <w:bCs/>
                <w:color w:val="0F1B2D"/>
                <w:sz w:val="22"/>
                <w:szCs w:val="22"/>
              </w:rPr>
              <w:t xml:space="preserve">Connvertex LLC</w:t>
            </w:r>
          </w:p>
          <w:p>
            <w:r>
              <w:rPr>
                <w:rFonts w:ascii="Calibri" w:cs="Calibri" w:eastAsia="Calibri" w:hAnsi="Calibri"/>
                <w:color w:val="64748B"/>
                <w:sz w:val="20"/>
                <w:szCs w:val="20"/>
              </w:rPr>
              <w:t xml:space="preserve">[CONNVERTEX HQ ADDRESS]</w:t>
            </w:r>
          </w:p>
          <w:p>
            <w:pPr>
              <w:spacing w:before="120"/>
            </w:pPr>
            <w:r>
              <w:rPr>
                <w:rFonts w:ascii="Calibri" w:cs="Calibri" w:eastAsia="Calibri" w:hAnsi="Calibri"/>
                <w:b/>
                <w:bCs/>
                <w:color w:val="0F1B2D"/>
                <w:sz w:val="18"/>
                <w:szCs w:val="18"/>
              </w:rPr>
              <w:t xml:space="preserve">Authorized signatory</w:t>
            </w:r>
          </w:p>
          <w:p>
            <w:r>
              <w:rPr>
                <w:rFonts w:ascii="Calibri" w:cs="Calibri" w:eastAsia="Calibri" w:hAnsi="Calibri"/>
                <w:color w:val="334155"/>
                <w:sz w:val="20"/>
                <w:szCs w:val="20"/>
              </w:rPr>
              <w:t xml:space="preserve">[CONNVERTEX SIGNATORY NAME, TITLE]</w:t>
            </w:r>
          </w:p>
          <w:p>
            <w:r>
              <w:rPr>
                <w:rFonts w:ascii="Consolas" w:cs="Consolas" w:eastAsia="Consolas" w:hAnsi="Consolas"/>
                <w:color w:val="334155"/>
                <w:sz w:val="18"/>
                <w:szCs w:val="18"/>
              </w:rPr>
              <w:t xml:space="preserve">contracts@connvertex.com</w:t>
            </w:r>
          </w:p>
        </w:tc>
        <w:tc>
          <w:tcPr>
            <w:tcW w:type="dxa" w:w="468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r>
              <w:rPr>
                <w:rFonts w:ascii="Calibri" w:cs="Calibri" w:eastAsia="Calibri" w:hAnsi="Calibri"/>
                <w:b/>
                <w:bCs/>
                <w:color w:val="0F1B2D"/>
                <w:sz w:val="22"/>
                <w:szCs w:val="22"/>
              </w:rPr>
              <w:t xml:space="preserve">[CLIENT LEGAL NAME]</w:t>
            </w:r>
          </w:p>
          <w:p>
            <w:r>
              <w:rPr>
                <w:rFonts w:ascii="Calibri" w:cs="Calibri" w:eastAsia="Calibri" w:hAnsi="Calibri"/>
                <w:color w:val="64748B"/>
                <w:sz w:val="20"/>
                <w:szCs w:val="20"/>
              </w:rPr>
              <w:t xml:space="preserve">[CLIENT STREET ADDRESS, CITY, STATE ZIP]</w:t>
            </w:r>
          </w:p>
          <w:p>
            <w:pPr>
              <w:spacing w:before="120"/>
            </w:pPr>
            <w:r>
              <w:rPr>
                <w:rFonts w:ascii="Calibri" w:cs="Calibri" w:eastAsia="Calibri" w:hAnsi="Calibri"/>
                <w:b/>
                <w:bCs/>
                <w:color w:val="0F1B2D"/>
                <w:sz w:val="18"/>
                <w:szCs w:val="18"/>
              </w:rPr>
              <w:t xml:space="preserve">Authorized signatory</w:t>
            </w:r>
          </w:p>
          <w:p>
            <w:r>
              <w:rPr>
                <w:rFonts w:ascii="Calibri" w:cs="Calibri" w:eastAsia="Calibri" w:hAnsi="Calibri"/>
                <w:color w:val="334155"/>
                <w:sz w:val="20"/>
                <w:szCs w:val="20"/>
              </w:rPr>
              <w:t xml:space="preserve">[CLIENT SIGNATORY NAME, TITLE]</w:t>
            </w:r>
          </w:p>
          <w:p>
            <w:r>
              <w:rPr>
                <w:rFonts w:ascii="Consolas" w:cs="Consolas" w:eastAsia="Consolas" w:hAnsi="Consolas"/>
                <w:color w:val="334155"/>
                <w:sz w:val="18"/>
                <w:szCs w:val="18"/>
              </w:rPr>
              <w:t xml:space="preserve">[signatory@client.com]</w:t>
            </w:r>
          </w:p>
        </w:tc>
      </w:tr>
    </w:tbl>
    <w:p>
      <w:pPr>
        <w:pStyle w:val="Heading3"/>
        <w:spacing w:after="80" w:before="240"/>
      </w:pPr>
      <w:r>
        <w:rPr>
          <w:rFonts w:ascii="Calibri" w:cs="Calibri" w:eastAsia="Calibri" w:hAnsi="Calibri"/>
          <w:b/>
          <w:bCs/>
          <w:color w:val="0F1B2D"/>
          <w:sz w:val="24"/>
          <w:szCs w:val="24"/>
        </w:rPr>
        <w:t xml:space="preserve">Agreement structure</w:t>
      </w:r>
    </w:p>
    <w:p>
      <w:pPr>
        <w:spacing w:after="120" w:line="300"/>
      </w:pPr>
      <w:r>
        <w:rPr>
          <w:rFonts w:ascii="Calibri" w:cs="Calibri" w:eastAsia="Calibri" w:hAnsi="Calibri"/>
          <w:b w:val="false"/>
          <w:bCs w:val="false"/>
          <w:i w:val="false"/>
          <w:iCs w:val="false"/>
          <w:color w:val="334155"/>
          <w:sz w:val="22"/>
          <w:szCs w:val="22"/>
        </w:rPr>
        <w:t xml:space="preserve">This Statement of Work is issued pursuant to, and governed by, the [Master Services Agreement dated YYYY-MM-DD] between the parties (the "MSA"). Capitalized terms used but not defined in this SOW have the meanings given in the MSA. If any conflict exists between this SOW and the MSA, the terms of this SOW govern solely with respect to the services described here.</w:t>
      </w:r>
    </w:p>
    <w:p>
      <w:pPr>
        <w:spacing w:after="120" w:line="300"/>
      </w:pPr>
      <w:r>
        <w:rPr>
          <w:rFonts w:ascii="Calibri" w:cs="Calibri" w:eastAsia="Calibri" w:hAnsi="Calibri"/>
          <w:b w:val="false"/>
          <w:bCs w:val="false"/>
          <w:i w:val="false"/>
          <w:iCs w:val="false"/>
          <w:color w:val="334155"/>
          <w:sz w:val="22"/>
          <w:szCs w:val="22"/>
        </w:rPr>
        <w:t xml:space="preserve">The SOW number on the cover identifies this document for invoicing, change orders, and amendments. All amendments are issued as numbered Change Orders under the process in Section 11.</w:t>
      </w:r>
    </w:p>
    <w:p>
      <w:r>
        <w:br w:type="page"/>
      </w:r>
    </w:p>
    <w:p>
      <w:pPr>
        <w:spacing w:after="60" w:before="120"/>
      </w:pPr>
      <w:r>
        <w:rPr>
          <w:rFonts w:ascii="Calibri" w:cs="Calibri" w:eastAsia="Calibri" w:hAnsi="Calibri"/>
          <w:b/>
          <w:bCs/>
          <w:color w:val="16A34A"/>
          <w:spacing w:val="60"/>
          <w:sz w:val="18"/>
          <w:szCs w:val="18"/>
        </w:rPr>
        <w:t xml:space="preserve">SECTION 02</w:t>
      </w:r>
    </w:p>
    <w:p>
      <w:pPr>
        <w:pStyle w:val="Heading1"/>
        <w:spacing w:after="200" w:before="480"/>
      </w:pPr>
      <w:r>
        <w:rPr>
          <w:rFonts w:ascii="Calibri" w:cs="Calibri" w:eastAsia="Calibri" w:hAnsi="Calibri"/>
          <w:b/>
          <w:bCs/>
          <w:color w:val="0F1B2D"/>
          <w:sz w:val="40"/>
          <w:szCs w:val="40"/>
        </w:rPr>
        <w:t xml:space="preserve">Engagement summary</w:t>
      </w:r>
    </w:p>
    <w:p>
      <w:pPr>
        <w:spacing w:after="120" w:line="300"/>
      </w:pPr>
      <w:r>
        <w:rPr>
          <w:rFonts w:ascii="Calibri" w:cs="Calibri" w:eastAsia="Calibri" w:hAnsi="Calibri"/>
          <w:b w:val="false"/>
          <w:bCs w:val="false"/>
          <w:i w:val="false"/>
          <w:iCs w:val="false"/>
          <w:color w:val="334155"/>
          <w:sz w:val="22"/>
          <w:szCs w:val="22"/>
        </w:rPr>
        <w:t xml:space="preserve">The one-page read-out a client stakeholder can use to orient.</w:t>
      </w:r>
    </w:p>
    <w:p>
      <w:pPr>
        <w:spacing w:after="120" w:line="300"/>
      </w:pPr>
      <w:r>
        <w:rPr>
          <w:rFonts w:ascii="Calibri" w:cs="Calibri" w:eastAsia="Calibri" w:hAnsi="Calibri"/>
          <w:b w:val="false"/>
          <w:bCs w:val="false"/>
          <w:i w:val="false"/>
          <w:iCs w:val="false"/>
          <w:color w:val="334155"/>
          <w:sz w:val="22"/>
          <w:szCs w:val="22"/>
        </w:rPr>
        <w:t xml:space="preserve">Connvertex will provide fractional Chief Information Security Officer services to [CLIENT SHORT NAME] on a Standard tier engagement of approximately twenty (20) hours per week, under a monthly operating cadence. The engagement covers security program governance, risk management, SOC 2 Type II and HIPAA Security Rule advisory, policy maintenance, vendor risk oversight, incident response readiness, and executive and board reporting. Deliverables, fees, and acceptance criteria are defined in the sections that follow.</w:t>
      </w:r>
    </w:p>
    <w:p>
      <w:pPr>
        <w:pStyle w:val="Heading3"/>
        <w:spacing w:after="80" w:before="240"/>
      </w:pPr>
      <w:r>
        <w:rPr>
          <w:rFonts w:ascii="Calibri" w:cs="Calibri" w:eastAsia="Calibri" w:hAnsi="Calibri"/>
          <w:b/>
          <w:bCs/>
          <w:color w:val="0F1B2D"/>
          <w:sz w:val="24"/>
          <w:szCs w:val="24"/>
        </w:rPr>
        <w:t xml:space="preserve">What [CLIENT SHORT NAME] gets by quarter four</w:t>
      </w:r>
    </w:p>
    <w:p>
      <w:pPr>
        <w:pStyle w:val="ListParagraph"/>
        <w:numPr>
          <w:ilvl w:val="0"/>
          <w:numId w:val="2"/>
        </w:numPr>
        <w:spacing w:after="80" w:line="280"/>
      </w:pPr>
      <w:r>
        <w:rPr>
          <w:rFonts w:ascii="Calibri" w:cs="Calibri" w:eastAsia="Calibri" w:hAnsi="Calibri"/>
          <w:color w:val="334155"/>
          <w:sz w:val="22"/>
          <w:szCs w:val="22"/>
        </w:rPr>
        <w:t xml:space="preserve">A documented security program owned by a named, accountable leader, operating on a published monthly cadence.</w:t>
      </w:r>
    </w:p>
    <w:p>
      <w:pPr>
        <w:pStyle w:val="ListParagraph"/>
        <w:numPr>
          <w:ilvl w:val="0"/>
          <w:numId w:val="2"/>
        </w:numPr>
        <w:spacing w:after="80" w:line="280"/>
      </w:pPr>
      <w:r>
        <w:rPr>
          <w:rFonts w:ascii="Calibri" w:cs="Calibri" w:eastAsia="Calibri" w:hAnsi="Calibri"/>
          <w:color w:val="334155"/>
          <w:sz w:val="22"/>
          <w:szCs w:val="22"/>
        </w:rPr>
        <w:t xml:space="preserve">An information security policy binder that is current, signed, and reviewed on a published annual schedule.</w:t>
      </w:r>
    </w:p>
    <w:p>
      <w:pPr>
        <w:pStyle w:val="ListParagraph"/>
        <w:numPr>
          <w:ilvl w:val="0"/>
          <w:numId w:val="2"/>
        </w:numPr>
        <w:spacing w:after="80" w:line="280"/>
      </w:pPr>
      <w:r>
        <w:rPr>
          <w:rFonts w:ascii="Calibri" w:cs="Calibri" w:eastAsia="Calibri" w:hAnsi="Calibri"/>
          <w:color w:val="334155"/>
          <w:sz w:val="22"/>
          <w:szCs w:val="22"/>
        </w:rPr>
        <w:t xml:space="preserve">A live risk register and Plan of Action &amp; Milestones paired with the SOC 2 audit evidence repository.</w:t>
      </w:r>
    </w:p>
    <w:p>
      <w:pPr>
        <w:pStyle w:val="ListParagraph"/>
        <w:numPr>
          <w:ilvl w:val="0"/>
          <w:numId w:val="2"/>
        </w:numPr>
        <w:spacing w:after="80" w:line="280"/>
      </w:pPr>
      <w:r>
        <w:rPr>
          <w:rFonts w:ascii="Calibri" w:cs="Calibri" w:eastAsia="Calibri" w:hAnsi="Calibri"/>
          <w:color w:val="334155"/>
          <w:sz w:val="22"/>
          <w:szCs w:val="22"/>
        </w:rPr>
        <w:t xml:space="preserve">A signed SOC 2 Type I readiness position and the opening of a Type II observation window, with the selected AICPA auditor under contract.</w:t>
      </w:r>
    </w:p>
    <w:p>
      <w:pPr>
        <w:pStyle w:val="ListParagraph"/>
        <w:numPr>
          <w:ilvl w:val="0"/>
          <w:numId w:val="2"/>
        </w:numPr>
        <w:spacing w:after="80" w:line="280"/>
      </w:pPr>
      <w:r>
        <w:rPr>
          <w:rFonts w:ascii="Calibri" w:cs="Calibri" w:eastAsia="Calibri" w:hAnsi="Calibri"/>
          <w:color w:val="334155"/>
          <w:sz w:val="22"/>
          <w:szCs w:val="22"/>
        </w:rPr>
        <w:t xml:space="preserve">A HIPAA Security Rule risk analysis completed and mapped to the SOC 2 control set; one administrative, one physical, and one technical safeguard test performed per quarter.</w:t>
      </w:r>
    </w:p>
    <w:p>
      <w:pPr>
        <w:pStyle w:val="ListParagraph"/>
        <w:numPr>
          <w:ilvl w:val="0"/>
          <w:numId w:val="2"/>
        </w:numPr>
        <w:spacing w:after="80" w:line="280"/>
      </w:pPr>
      <w:r>
        <w:rPr>
          <w:rFonts w:ascii="Calibri" w:cs="Calibri" w:eastAsia="Calibri" w:hAnsi="Calibri"/>
          <w:color w:val="334155"/>
          <w:sz w:val="22"/>
          <w:szCs w:val="22"/>
        </w:rPr>
        <w:t xml:space="preserve">An incident response plan that has survived at least one tabletop with executive leadership, with a written after-action report on file.</w:t>
      </w:r>
    </w:p>
    <w:p>
      <w:pPr>
        <w:pStyle w:val="ListParagraph"/>
        <w:numPr>
          <w:ilvl w:val="0"/>
          <w:numId w:val="2"/>
        </w:numPr>
        <w:spacing w:after="80" w:line="280"/>
      </w:pPr>
      <w:r>
        <w:rPr>
          <w:rFonts w:ascii="Calibri" w:cs="Calibri" w:eastAsia="Calibri" w:hAnsi="Calibri"/>
          <w:color w:val="334155"/>
          <w:sz w:val="22"/>
          <w:szCs w:val="22"/>
        </w:rPr>
        <w:t xml:space="preserve">Quarterly board-level reporting delivered on a predictable schedule that leadership and the audit committee can rely on.</w:t>
      </w:r>
    </w:p>
    <w:p>
      <w:r>
        <w:br w:type="page"/>
      </w:r>
    </w:p>
    <w:p>
      <w:pPr>
        <w:spacing w:after="60" w:before="120"/>
      </w:pPr>
      <w:r>
        <w:rPr>
          <w:rFonts w:ascii="Calibri" w:cs="Calibri" w:eastAsia="Calibri" w:hAnsi="Calibri"/>
          <w:b/>
          <w:bCs/>
          <w:color w:val="16A34A"/>
          <w:spacing w:val="60"/>
          <w:sz w:val="18"/>
          <w:szCs w:val="18"/>
        </w:rPr>
        <w:t xml:space="preserve">SECTION 03</w:t>
      </w:r>
    </w:p>
    <w:p>
      <w:pPr>
        <w:pStyle w:val="Heading1"/>
        <w:spacing w:after="200" w:before="480"/>
      </w:pPr>
      <w:r>
        <w:rPr>
          <w:rFonts w:ascii="Calibri" w:cs="Calibri" w:eastAsia="Calibri" w:hAnsi="Calibri"/>
          <w:b/>
          <w:bCs/>
          <w:color w:val="0F1B2D"/>
          <w:sz w:val="40"/>
          <w:szCs w:val="40"/>
        </w:rPr>
        <w:t xml:space="preserve">Engagement model</w:t>
      </w:r>
    </w:p>
    <w:p>
      <w:pPr>
        <w:spacing w:after="120" w:line="300"/>
      </w:pPr>
      <w:r>
        <w:rPr>
          <w:rFonts w:ascii="Calibri" w:cs="Calibri" w:eastAsia="Calibri" w:hAnsi="Calibri"/>
          <w:b w:val="false"/>
          <w:bCs w:val="false"/>
          <w:i w:val="false"/>
          <w:iCs w:val="false"/>
          <w:color w:val="334155"/>
          <w:sz w:val="22"/>
          <w:szCs w:val="22"/>
        </w:rPr>
        <w:t xml:space="preserve">Tier, committed hours, duration, staffing, and operating cadence.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Tier</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Standard</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Committed hours</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Twenty (20) hours per week, averaged over each calendar month.</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Duration</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Initial term of twelve (12) months, with ninety (90) day extensions by mutual written agreement.</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Location</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Primarily remote. On-site presence at [CLIENT HQ] up to [two (2)] days per calendar quarter, plus additional days by mutual agreement at cost.</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Lead consultant</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[Senior Practitioner, Connvertex (Lead vCISO)]</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Connvertex support bench</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Access to the Connvertex practitioner bench (compliance, offensive security, cloud and identity security, detection and response) at the rates set out in Appendix A when the work falls outside the scope of this SOW.</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Client operational POC</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[CLIENT OPERATIONAL POC — typically COO, CTO, or VP Engineering]</w:t>
            </w:r>
          </w:p>
        </w:tc>
      </w:tr>
      <w:tr>
        <w:tc>
          <w:tcPr>
            <w:tcW w:type="dxa" w:w="2500"/>
            <w:tcBorders>
              <w:top w:val="single" w:color="E2E8F0" w:sz="4"/>
              <w:left w:val="single" w:color="E2E8F0" w:sz="4"/>
              <w:bottom w:val="single" w:color="E2E8F0" w:sz="4"/>
              <w:right w:val="single" w:color="E2E8F0" w:sz="4"/>
            </w:tcBorders>
            <w:shd w:fill="F8FAFC" w:val="clear"/>
            <w:tcMar>
              <w:top w:type="dxa" w:w="80"/>
              <w:left w:type="dxa" w:w="120"/>
              <w:bottom w:type="dxa" w:w="80"/>
              <w:right w:type="dxa" w:w="120"/>
            </w:tcMar>
            <w:vAlign w:val="top"/>
          </w:tcPr>
          <w:p>
            <w:pPr>
              <w:spacing w:after="0" w:line="260"/>
            </w:pPr>
            <w:r>
              <w:rPr>
                <w:rFonts w:ascii="Calibri" w:cs="Calibri" w:eastAsia="Calibri" w:hAnsi="Calibri"/>
                <w:b/>
                <w:bCs/>
                <w:color w:val="64748B"/>
                <w:sz w:val="18"/>
                <w:szCs w:val="18"/>
              </w:rPr>
              <w:t xml:space="preserve">Client executive sponsor</w:t>
            </w:r>
          </w:p>
        </w:tc>
        <w:tc>
          <w:tcPr>
            <w:tcW w:type="dxa" w:w="6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[CLIENT EXECUTIVE SPONSOR — CEO or equivalent]</w:t>
            </w:r>
          </w:p>
        </w:tc>
      </w:tr>
    </w:tbl>
    <w:p>
      <w:pPr>
        <w:pStyle w:val="Heading3"/>
        <w:spacing w:after="80" w:before="240"/>
      </w:pPr>
      <w:r>
        <w:rPr>
          <w:rFonts w:ascii="Calibri" w:cs="Calibri" w:eastAsia="Calibri" w:hAnsi="Calibri"/>
          <w:b/>
          <w:bCs/>
          <w:color w:val="0F1B2D"/>
          <w:sz w:val="24"/>
          <w:szCs w:val="24"/>
        </w:rPr>
        <w:t xml:space="preserve">Operating cadence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Frequency</w:t>
            </w:r>
          </w:p>
        </w:tc>
        <w:tc>
          <w:tcPr>
            <w:tcW w:type="dxa" w:w="736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Activity</w:t>
            </w:r>
          </w:p>
        </w:tc>
      </w:tr>
      <w:tr>
        <w:tc>
          <w:tcPr>
            <w:tcW w:type="dxa" w:w="20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Weekly</w:t>
            </w:r>
          </w:p>
        </w:tc>
        <w:tc>
          <w:tcPr>
            <w:tcW w:type="dxa" w:w="73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Thirty-minute standing review with the client operational POC. Status, blockers, evidence pulls for the week, and the one decision the program needs from leadership.</w:t>
            </w:r>
          </w:p>
        </w:tc>
      </w:tr>
      <w:tr>
        <w:tc>
          <w:tcPr>
            <w:tcW w:type="dxa" w:w="20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Monthly</w:t>
            </w:r>
          </w:p>
        </w:tc>
        <w:tc>
          <w:tcPr>
            <w:tcW w:type="dxa" w:w="73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Ninety-minute security review with the executive sponsor. Risk register walk-through, POA&amp;M aging, vendor status, in-flight projects, and the month's written executive summary.</w:t>
            </w:r>
          </w:p>
        </w:tc>
      </w:tr>
      <w:tr>
        <w:tc>
          <w:tcPr>
            <w:tcW w:type="dxa" w:w="20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Quarterly</w:t>
            </w:r>
          </w:p>
        </w:tc>
        <w:tc>
          <w:tcPr>
            <w:tcW w:type="dxa" w:w="73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Board and audit-committee level report. Program maturity, material changes to the risk register, audit status, and the quarter-ahead priorities.</w:t>
            </w:r>
          </w:p>
        </w:tc>
      </w:tr>
      <w:tr>
        <w:tc>
          <w:tcPr>
            <w:tcW w:type="dxa" w:w="20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Annually</w:t>
            </w:r>
          </w:p>
        </w:tc>
        <w:tc>
          <w:tcPr>
            <w:tcW w:type="dxa" w:w="73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Program review with leadership. Policy refresh, control baseline re-scoping, tabletop exercise with executive participation, and third-party attestation milestones.</w:t>
            </w:r>
          </w:p>
        </w:tc>
      </w:tr>
    </w:tbl>
    <w:p>
      <w:r>
        <w:br w:type="page"/>
      </w:r>
    </w:p>
    <w:p>
      <w:pPr>
        <w:spacing w:after="60" w:before="120"/>
      </w:pPr>
      <w:r>
        <w:rPr>
          <w:rFonts w:ascii="Calibri" w:cs="Calibri" w:eastAsia="Calibri" w:hAnsi="Calibri"/>
          <w:b/>
          <w:bCs/>
          <w:color w:val="16A34A"/>
          <w:spacing w:val="60"/>
          <w:sz w:val="18"/>
          <w:szCs w:val="18"/>
        </w:rPr>
        <w:t xml:space="preserve">SECTION 04</w:t>
      </w:r>
    </w:p>
    <w:p>
      <w:pPr>
        <w:pStyle w:val="Heading1"/>
        <w:spacing w:after="200" w:before="480"/>
      </w:pPr>
      <w:r>
        <w:rPr>
          <w:rFonts w:ascii="Calibri" w:cs="Calibri" w:eastAsia="Calibri" w:hAnsi="Calibri"/>
          <w:b/>
          <w:bCs/>
          <w:color w:val="0F1B2D"/>
          <w:sz w:val="40"/>
          <w:szCs w:val="40"/>
        </w:rPr>
        <w:t xml:space="preserve">Scope of services</w:t>
      </w:r>
    </w:p>
    <w:p>
      <w:pPr>
        <w:spacing w:after="120" w:line="300"/>
      </w:pPr>
      <w:r>
        <w:rPr>
          <w:rFonts w:ascii="Calibri" w:cs="Calibri" w:eastAsia="Calibri" w:hAnsi="Calibri"/>
          <w:b w:val="false"/>
          <w:bCs w:val="false"/>
          <w:i w:val="false"/>
          <w:iCs w:val="false"/>
          <w:color w:val="334155"/>
          <w:sz w:val="22"/>
          <w:szCs w:val="22"/>
        </w:rPr>
        <w:t xml:space="preserve">Service lines Connvertex performs under this SOW. Each sub-section lists the specific activities included.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4.1  Security program governance</w:t>
            </w:r>
          </w:p>
        </w:tc>
      </w:tr>
    </w:tbl>
    <w:p>
      <w:pPr>
        <w:spacing w:after="120" w:line="300"/>
      </w:pPr>
      <w:r>
        <w:rPr>
          <w:rFonts w:ascii="Calibri" w:cs="Calibri" w:eastAsia="Calibri" w:hAnsi="Calibri"/>
          <w:b w:val="false"/>
          <w:bCs w:val="false"/>
          <w:i w:val="false"/>
          <w:iCs w:val="false"/>
          <w:color w:val="334155"/>
          <w:sz w:val="22"/>
          <w:szCs w:val="22"/>
        </w:rPr>
        <w:t xml:space="preserve">Establish and operate a documented security program aligned to the AICPA Trust Services Criteria and the HIPAA Security Rule. Own the program calendar, maintain the steering-review cadence, and serve as the accountable leader for security matters at the executive level.</w:t>
      </w:r>
    </w:p>
    <w:p>
      <w:pPr>
        <w:pStyle w:val="ListParagraph"/>
        <w:numPr>
          <w:ilvl w:val="0"/>
          <w:numId w:val="2"/>
        </w:numPr>
        <w:spacing w:after="80" w:line="280"/>
      </w:pPr>
      <w:r>
        <w:rPr>
          <w:rFonts w:ascii="Calibri" w:cs="Calibri" w:eastAsia="Calibri" w:hAnsi="Calibri"/>
          <w:color w:val="334155"/>
          <w:sz w:val="22"/>
          <w:szCs w:val="22"/>
        </w:rPr>
        <w:t xml:space="preserve">Authorship and quarterly review of the security program charter.</w:t>
      </w:r>
    </w:p>
    <w:p>
      <w:pPr>
        <w:pStyle w:val="ListParagraph"/>
        <w:numPr>
          <w:ilvl w:val="0"/>
          <w:numId w:val="2"/>
        </w:numPr>
        <w:spacing w:after="80" w:line="280"/>
      </w:pPr>
      <w:r>
        <w:rPr>
          <w:rFonts w:ascii="Calibri" w:cs="Calibri" w:eastAsia="Calibri" w:hAnsi="Calibri"/>
          <w:color w:val="334155"/>
          <w:sz w:val="22"/>
          <w:szCs w:val="22"/>
        </w:rPr>
        <w:t xml:space="preserve">Standing executive and board-level reporting schedule.</w:t>
      </w:r>
    </w:p>
    <w:p>
      <w:pPr>
        <w:pStyle w:val="ListParagraph"/>
        <w:numPr>
          <w:ilvl w:val="0"/>
          <w:numId w:val="2"/>
        </w:numPr>
        <w:spacing w:after="80" w:line="280"/>
      </w:pPr>
      <w:r>
        <w:rPr>
          <w:rFonts w:ascii="Calibri" w:cs="Calibri" w:eastAsia="Calibri" w:hAnsi="Calibri"/>
          <w:color w:val="334155"/>
          <w:sz w:val="22"/>
          <w:szCs w:val="22"/>
        </w:rPr>
        <w:t xml:space="preserve">Escalation paths defined between engineering, legal, privacy, and the CEO.</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4.2  Risk management</w:t>
            </w:r>
          </w:p>
        </w:tc>
      </w:tr>
    </w:tbl>
    <w:p>
      <w:pPr>
        <w:spacing w:after="120" w:line="300"/>
      </w:pPr>
      <w:r>
        <w:rPr>
          <w:rFonts w:ascii="Calibri" w:cs="Calibri" w:eastAsia="Calibri" w:hAnsi="Calibri"/>
          <w:b w:val="false"/>
          <w:bCs w:val="false"/>
          <w:i w:val="false"/>
          <w:iCs w:val="false"/>
          <w:color w:val="334155"/>
          <w:sz w:val="22"/>
          <w:szCs w:val="22"/>
        </w:rPr>
        <w:t xml:space="preserve">Operate a live risk register on a rolling quarterly basis. Score risks consistently, drive remediation through the POA&amp;M, and present risk posture to the executive sponsor monthly.</w:t>
      </w:r>
    </w:p>
    <w:p>
      <w:pPr>
        <w:pStyle w:val="ListParagraph"/>
        <w:numPr>
          <w:ilvl w:val="0"/>
          <w:numId w:val="2"/>
        </w:numPr>
        <w:spacing w:after="80" w:line="280"/>
      </w:pPr>
      <w:r>
        <w:rPr>
          <w:rFonts w:ascii="Calibri" w:cs="Calibri" w:eastAsia="Calibri" w:hAnsi="Calibri"/>
          <w:color w:val="334155"/>
          <w:sz w:val="22"/>
          <w:szCs w:val="22"/>
        </w:rPr>
        <w:t xml:space="preserve">Inherent and residual risk scoring using an agreed impact by likelihood matrix.</w:t>
      </w:r>
    </w:p>
    <w:p>
      <w:pPr>
        <w:pStyle w:val="ListParagraph"/>
        <w:numPr>
          <w:ilvl w:val="0"/>
          <w:numId w:val="2"/>
        </w:numPr>
        <w:spacing w:after="80" w:line="280"/>
      </w:pPr>
      <w:r>
        <w:rPr>
          <w:rFonts w:ascii="Calibri" w:cs="Calibri" w:eastAsia="Calibri" w:hAnsi="Calibri"/>
          <w:color w:val="334155"/>
          <w:sz w:val="22"/>
          <w:szCs w:val="22"/>
        </w:rPr>
        <w:t xml:space="preserve">Quarterly risk-register refresh with the executive sponsor's sign-off.</w:t>
      </w:r>
    </w:p>
    <w:p>
      <w:pPr>
        <w:pStyle w:val="ListParagraph"/>
        <w:numPr>
          <w:ilvl w:val="0"/>
          <w:numId w:val="2"/>
        </w:numPr>
        <w:spacing w:after="80" w:line="280"/>
      </w:pPr>
      <w:r>
        <w:rPr>
          <w:rFonts w:ascii="Calibri" w:cs="Calibri" w:eastAsia="Calibri" w:hAnsi="Calibri"/>
          <w:color w:val="334155"/>
          <w:sz w:val="22"/>
          <w:szCs w:val="22"/>
        </w:rPr>
        <w:t xml:space="preserve">POA&amp;M carried in the same repository as the SOC 2 evidence set.</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4.3  Compliance advisory (SOC 2 Type II and HIPAA Security Rule)</w:t>
            </w:r>
          </w:p>
        </w:tc>
      </w:tr>
    </w:tbl>
    <w:p>
      <w:pPr>
        <w:spacing w:after="120" w:line="300"/>
      </w:pPr>
      <w:r>
        <w:rPr>
          <w:rFonts w:ascii="Calibri" w:cs="Calibri" w:eastAsia="Calibri" w:hAnsi="Calibri"/>
          <w:b w:val="false"/>
          <w:bCs w:val="false"/>
          <w:i w:val="false"/>
          <w:iCs w:val="false"/>
          <w:color w:val="334155"/>
          <w:sz w:val="22"/>
          <w:szCs w:val="22"/>
        </w:rPr>
        <w:t xml:space="preserve">Serve as the internal compliance lead across both frameworks. Define the audit boundary, author or update the System Description, pick the AICPA auditor, and carry the SOC 2 Type I to Type II conversion. Execute the HIPAA Security Rule risk analysis and maintain the administrative, physical, and technical safeguard inventory.</w:t>
      </w:r>
    </w:p>
    <w:p>
      <w:pPr>
        <w:pStyle w:val="ListParagraph"/>
        <w:numPr>
          <w:ilvl w:val="0"/>
          <w:numId w:val="2"/>
        </w:numPr>
        <w:spacing w:after="80" w:line="280"/>
      </w:pPr>
      <w:r>
        <w:rPr>
          <w:rFonts w:ascii="Calibri" w:cs="Calibri" w:eastAsia="Calibri" w:hAnsi="Calibri"/>
          <w:color w:val="334155"/>
          <w:sz w:val="22"/>
          <w:szCs w:val="22"/>
        </w:rPr>
        <w:t xml:space="preserve">SOC 2 scope statement, System Description, and Type I readiness opinion.</w:t>
      </w:r>
    </w:p>
    <w:p>
      <w:pPr>
        <w:pStyle w:val="ListParagraph"/>
        <w:numPr>
          <w:ilvl w:val="0"/>
          <w:numId w:val="2"/>
        </w:numPr>
        <w:spacing w:after="80" w:line="280"/>
      </w:pPr>
      <w:r>
        <w:rPr>
          <w:rFonts w:ascii="Calibri" w:cs="Calibri" w:eastAsia="Calibri" w:hAnsi="Calibri"/>
          <w:color w:val="334155"/>
          <w:sz w:val="22"/>
          <w:szCs w:val="22"/>
        </w:rPr>
        <w:t xml:space="preserve">Auditor selection, engagement, and Type II observation-window opening.</w:t>
      </w:r>
    </w:p>
    <w:p>
      <w:pPr>
        <w:pStyle w:val="ListParagraph"/>
        <w:numPr>
          <w:ilvl w:val="0"/>
          <w:numId w:val="2"/>
        </w:numPr>
        <w:spacing w:after="80" w:line="280"/>
      </w:pPr>
      <w:r>
        <w:rPr>
          <w:rFonts w:ascii="Calibri" w:cs="Calibri" w:eastAsia="Calibri" w:hAnsi="Calibri"/>
          <w:color w:val="334155"/>
          <w:sz w:val="22"/>
          <w:szCs w:val="22"/>
        </w:rPr>
        <w:t xml:space="preserve">HIPAA risk analysis under 45 CFR 164.308(a)(1)(ii)(A), updated annually.</w:t>
      </w:r>
    </w:p>
    <w:p>
      <w:pPr>
        <w:pStyle w:val="ListParagraph"/>
        <w:numPr>
          <w:ilvl w:val="0"/>
          <w:numId w:val="2"/>
        </w:numPr>
        <w:spacing w:after="80" w:line="280"/>
      </w:pPr>
      <w:r>
        <w:rPr>
          <w:rFonts w:ascii="Calibri" w:cs="Calibri" w:eastAsia="Calibri" w:hAnsi="Calibri"/>
          <w:color w:val="334155"/>
          <w:sz w:val="22"/>
          <w:szCs w:val="22"/>
        </w:rPr>
        <w:t xml:space="preserve">Business Associate Agreement inventory and review.</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4.4  Policy development and maintenance</w:t>
            </w:r>
          </w:p>
        </w:tc>
      </w:tr>
    </w:tbl>
    <w:p>
      <w:pPr>
        <w:spacing w:after="120" w:line="300"/>
      </w:pPr>
      <w:r>
        <w:rPr>
          <w:rFonts w:ascii="Calibri" w:cs="Calibri" w:eastAsia="Calibri" w:hAnsi="Calibri"/>
          <w:b w:val="false"/>
          <w:bCs w:val="false"/>
          <w:i w:val="false"/>
          <w:iCs w:val="false"/>
          <w:color w:val="334155"/>
          <w:sz w:val="22"/>
          <w:szCs w:val="22"/>
        </w:rPr>
        <w:t xml:space="preserve">Maintain a single policy binder authored against the master control catalog. One set of policies, not one per framework. Versioned, signed, and reviewed on a published annual schedule.</w:t>
      </w:r>
    </w:p>
    <w:p>
      <w:pPr>
        <w:pStyle w:val="ListParagraph"/>
        <w:numPr>
          <w:ilvl w:val="0"/>
          <w:numId w:val="2"/>
        </w:numPr>
        <w:spacing w:after="80" w:line="280"/>
      </w:pPr>
      <w:r>
        <w:rPr>
          <w:rFonts w:ascii="Calibri" w:cs="Calibri" w:eastAsia="Calibri" w:hAnsi="Calibri"/>
          <w:color w:val="334155"/>
          <w:sz w:val="22"/>
          <w:szCs w:val="22"/>
        </w:rPr>
        <w:t xml:space="preserve">Full policy stack: acceptable use, access control, change management, cryptography, data classification, incident response, media handling, vendor risk, business continuity, and employee lifecycle.</w:t>
      </w:r>
    </w:p>
    <w:p>
      <w:pPr>
        <w:pStyle w:val="ListParagraph"/>
        <w:numPr>
          <w:ilvl w:val="0"/>
          <w:numId w:val="2"/>
        </w:numPr>
        <w:spacing w:after="80" w:line="280"/>
      </w:pPr>
      <w:r>
        <w:rPr>
          <w:rFonts w:ascii="Calibri" w:cs="Calibri" w:eastAsia="Calibri" w:hAnsi="Calibri"/>
          <w:color w:val="334155"/>
          <w:sz w:val="22"/>
          <w:szCs w:val="22"/>
        </w:rPr>
        <w:t xml:space="preserve">Policy exception process with written justification and expiration.</w:t>
      </w:r>
    </w:p>
    <w:p>
      <w:pPr>
        <w:pStyle w:val="ListParagraph"/>
        <w:numPr>
          <w:ilvl w:val="0"/>
          <w:numId w:val="2"/>
        </w:numPr>
        <w:spacing w:after="80" w:line="280"/>
      </w:pPr>
      <w:r>
        <w:rPr>
          <w:rFonts w:ascii="Calibri" w:cs="Calibri" w:eastAsia="Calibri" w:hAnsi="Calibri"/>
          <w:color w:val="334155"/>
          <w:sz w:val="22"/>
          <w:szCs w:val="22"/>
        </w:rPr>
        <w:t xml:space="preserve">Annual policy review memo signed by the executive sponsor.</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4.5  Security architecture review</w:t>
            </w:r>
          </w:p>
        </w:tc>
      </w:tr>
    </w:tbl>
    <w:p>
      <w:pPr>
        <w:spacing w:after="120" w:line="300"/>
      </w:pPr>
      <w:r>
        <w:rPr>
          <w:rFonts w:ascii="Calibri" w:cs="Calibri" w:eastAsia="Calibri" w:hAnsi="Calibri"/>
          <w:b w:val="false"/>
          <w:bCs w:val="false"/>
          <w:i w:val="false"/>
          <w:iCs w:val="false"/>
          <w:color w:val="334155"/>
          <w:sz w:val="22"/>
          <w:szCs w:val="22"/>
        </w:rPr>
        <w:t xml:space="preserve">Review the client's production architecture at a design level, not a code level. Advise on identity, network, data, and service-to-service trust. Sit as the security reviewer on high-impact changes.</w:t>
      </w:r>
    </w:p>
    <w:p>
      <w:pPr>
        <w:pStyle w:val="ListParagraph"/>
        <w:numPr>
          <w:ilvl w:val="0"/>
          <w:numId w:val="2"/>
        </w:numPr>
        <w:spacing w:after="80" w:line="280"/>
      </w:pPr>
      <w:r>
        <w:rPr>
          <w:rFonts w:ascii="Calibri" w:cs="Calibri" w:eastAsia="Calibri" w:hAnsi="Calibri"/>
          <w:color w:val="334155"/>
          <w:sz w:val="22"/>
          <w:szCs w:val="22"/>
        </w:rPr>
        <w:t xml:space="preserve">One architecture deep-dive per quarter on a client-nominated domain.</w:t>
      </w:r>
    </w:p>
    <w:p>
      <w:pPr>
        <w:pStyle w:val="ListParagraph"/>
        <w:numPr>
          <w:ilvl w:val="0"/>
          <w:numId w:val="2"/>
        </w:numPr>
        <w:spacing w:after="80" w:line="280"/>
      </w:pPr>
      <w:r>
        <w:rPr>
          <w:rFonts w:ascii="Calibri" w:cs="Calibri" w:eastAsia="Calibri" w:hAnsi="Calibri"/>
          <w:color w:val="334155"/>
          <w:sz w:val="22"/>
          <w:szCs w:val="22"/>
        </w:rPr>
        <w:t xml:space="preserve">Security sign-off on changes the client designates as high-risk.</w:t>
      </w:r>
    </w:p>
    <w:p>
      <w:pPr>
        <w:pStyle w:val="ListParagraph"/>
        <w:numPr>
          <w:ilvl w:val="0"/>
          <w:numId w:val="2"/>
        </w:numPr>
        <w:spacing w:after="80" w:line="280"/>
      </w:pPr>
      <w:r>
        <w:rPr>
          <w:rFonts w:ascii="Calibri" w:cs="Calibri" w:eastAsia="Calibri" w:hAnsi="Calibri"/>
          <w:color w:val="334155"/>
          <w:sz w:val="22"/>
          <w:szCs w:val="22"/>
        </w:rPr>
        <w:t xml:space="preserve">Input to roadmap decisions with material security implications.</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4.6  Vendor and third-party risk</w:t>
            </w:r>
          </w:p>
        </w:tc>
      </w:tr>
    </w:tbl>
    <w:p>
      <w:pPr>
        <w:spacing w:after="120" w:line="300"/>
      </w:pPr>
      <w:r>
        <w:rPr>
          <w:rFonts w:ascii="Calibri" w:cs="Calibri" w:eastAsia="Calibri" w:hAnsi="Calibri"/>
          <w:b w:val="false"/>
          <w:bCs w:val="false"/>
          <w:i w:val="false"/>
          <w:iCs w:val="false"/>
          <w:color w:val="334155"/>
          <w:sz w:val="22"/>
          <w:szCs w:val="22"/>
        </w:rPr>
        <w:t xml:space="preserve">Maintain a live vendor inventory. Triage new vendors before contract execution. Review contract and data-processing terms with legal. Re-review in-scope vendors at least annually.</w:t>
      </w:r>
    </w:p>
    <w:p>
      <w:pPr>
        <w:pStyle w:val="ListParagraph"/>
        <w:numPr>
          <w:ilvl w:val="0"/>
          <w:numId w:val="2"/>
        </w:numPr>
        <w:spacing w:after="80" w:line="280"/>
      </w:pPr>
      <w:r>
        <w:rPr>
          <w:rFonts w:ascii="Calibri" w:cs="Calibri" w:eastAsia="Calibri" w:hAnsi="Calibri"/>
          <w:color w:val="334155"/>
          <w:sz w:val="22"/>
          <w:szCs w:val="22"/>
        </w:rPr>
        <w:t xml:space="preserve">Vendor intake questionnaire and triage rubric.</w:t>
      </w:r>
    </w:p>
    <w:p>
      <w:pPr>
        <w:pStyle w:val="ListParagraph"/>
        <w:numPr>
          <w:ilvl w:val="0"/>
          <w:numId w:val="2"/>
        </w:numPr>
        <w:spacing w:after="80" w:line="280"/>
      </w:pPr>
      <w:r>
        <w:rPr>
          <w:rFonts w:ascii="Calibri" w:cs="Calibri" w:eastAsia="Calibri" w:hAnsi="Calibri"/>
          <w:color w:val="334155"/>
          <w:sz w:val="22"/>
          <w:szCs w:val="22"/>
        </w:rPr>
        <w:t xml:space="preserve">BAA, DPA, and flow-down clause library.</w:t>
      </w:r>
    </w:p>
    <w:p>
      <w:pPr>
        <w:pStyle w:val="ListParagraph"/>
        <w:numPr>
          <w:ilvl w:val="0"/>
          <w:numId w:val="2"/>
        </w:numPr>
        <w:spacing w:after="80" w:line="280"/>
      </w:pPr>
      <w:r>
        <w:rPr>
          <w:rFonts w:ascii="Calibri" w:cs="Calibri" w:eastAsia="Calibri" w:hAnsi="Calibri"/>
          <w:color w:val="334155"/>
          <w:sz w:val="22"/>
          <w:szCs w:val="22"/>
        </w:rPr>
        <w:t xml:space="preserve">Annual re-review of vendors handling regulated data or production access.</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4.7  Incident response readiness</w:t>
            </w:r>
          </w:p>
        </w:tc>
      </w:tr>
    </w:tbl>
    <w:p>
      <w:pPr>
        <w:spacing w:after="120" w:line="300"/>
      </w:pPr>
      <w:r>
        <w:rPr>
          <w:rFonts w:ascii="Calibri" w:cs="Calibri" w:eastAsia="Calibri" w:hAnsi="Calibri"/>
          <w:b w:val="false"/>
          <w:bCs w:val="false"/>
          <w:i w:val="false"/>
          <w:iCs w:val="false"/>
          <w:color w:val="334155"/>
          <w:sz w:val="22"/>
          <w:szCs w:val="22"/>
        </w:rPr>
        <w:t xml:space="preserve">Own the written incident response plan. Run at least one tabletop per year with executive participation. Serve as the incident commander during declared security incidents within the engagement hours.</w:t>
      </w:r>
    </w:p>
    <w:p>
      <w:pPr>
        <w:pStyle w:val="ListParagraph"/>
        <w:numPr>
          <w:ilvl w:val="0"/>
          <w:numId w:val="2"/>
        </w:numPr>
        <w:spacing w:after="80" w:line="280"/>
      </w:pPr>
      <w:r>
        <w:rPr>
          <w:rFonts w:ascii="Calibri" w:cs="Calibri" w:eastAsia="Calibri" w:hAnsi="Calibri"/>
          <w:color w:val="334155"/>
          <w:sz w:val="22"/>
          <w:szCs w:val="22"/>
        </w:rPr>
        <w:t xml:space="preserve">Incident response plan maintained in the engagement evidence repo.</w:t>
      </w:r>
    </w:p>
    <w:p>
      <w:pPr>
        <w:pStyle w:val="ListParagraph"/>
        <w:numPr>
          <w:ilvl w:val="0"/>
          <w:numId w:val="2"/>
        </w:numPr>
        <w:spacing w:after="80" w:line="280"/>
      </w:pPr>
      <w:r>
        <w:rPr>
          <w:rFonts w:ascii="Calibri" w:cs="Calibri" w:eastAsia="Calibri" w:hAnsi="Calibri"/>
          <w:color w:val="334155"/>
          <w:sz w:val="22"/>
          <w:szCs w:val="22"/>
        </w:rPr>
        <w:t xml:space="preserve">Annual tabletop with after-action report and tracked corrective actions.</w:t>
      </w:r>
    </w:p>
    <w:p>
      <w:pPr>
        <w:pStyle w:val="ListParagraph"/>
        <w:numPr>
          <w:ilvl w:val="0"/>
          <w:numId w:val="2"/>
        </w:numPr>
        <w:spacing w:after="80" w:line="280"/>
      </w:pPr>
      <w:r>
        <w:rPr>
          <w:rFonts w:ascii="Calibri" w:cs="Calibri" w:eastAsia="Calibri" w:hAnsi="Calibri"/>
          <w:color w:val="334155"/>
          <w:sz w:val="22"/>
          <w:szCs w:val="22"/>
        </w:rPr>
        <w:t xml:space="preserve">Incident commander role during engagement hours; escalation to the Connvertex 24x7 detection and response bench by change order if required.</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4.8  Executive and board reporting</w:t>
            </w:r>
          </w:p>
        </w:tc>
      </w:tr>
    </w:tbl>
    <w:p>
      <w:pPr>
        <w:spacing w:after="120" w:line="300"/>
      </w:pPr>
      <w:r>
        <w:rPr>
          <w:rFonts w:ascii="Calibri" w:cs="Calibri" w:eastAsia="Calibri" w:hAnsi="Calibri"/>
          <w:b w:val="false"/>
          <w:bCs w:val="false"/>
          <w:i w:val="false"/>
          <w:iCs w:val="false"/>
          <w:color w:val="334155"/>
          <w:sz w:val="22"/>
          <w:szCs w:val="22"/>
        </w:rPr>
        <w:t xml:space="preserve">Produce the monthly executive read-out and the quarterly board brief. Attend the board meeting or audit-committee session at the client's invitation, within the committed hours.</w:t>
      </w:r>
    </w:p>
    <w:p>
      <w:pPr>
        <w:pStyle w:val="ListParagraph"/>
        <w:numPr>
          <w:ilvl w:val="0"/>
          <w:numId w:val="2"/>
        </w:numPr>
        <w:spacing w:after="80" w:line="280"/>
      </w:pPr>
      <w:r>
        <w:rPr>
          <w:rFonts w:ascii="Calibri" w:cs="Calibri" w:eastAsia="Calibri" w:hAnsi="Calibri"/>
          <w:color w:val="334155"/>
          <w:sz w:val="22"/>
          <w:szCs w:val="22"/>
        </w:rPr>
        <w:t xml:space="preserve">Monthly one-page executive read-out.</w:t>
      </w:r>
    </w:p>
    <w:p>
      <w:pPr>
        <w:pStyle w:val="ListParagraph"/>
        <w:numPr>
          <w:ilvl w:val="0"/>
          <w:numId w:val="2"/>
        </w:numPr>
        <w:spacing w:after="80" w:line="280"/>
      </w:pPr>
      <w:r>
        <w:rPr>
          <w:rFonts w:ascii="Calibri" w:cs="Calibri" w:eastAsia="Calibri" w:hAnsi="Calibri"/>
          <w:color w:val="334155"/>
          <w:sz w:val="22"/>
          <w:szCs w:val="22"/>
        </w:rPr>
        <w:t xml:space="preserve">Quarterly board brief, three to five pages, with risk and audit status.</w:t>
      </w:r>
    </w:p>
    <w:p>
      <w:pPr>
        <w:pStyle w:val="ListParagraph"/>
        <w:numPr>
          <w:ilvl w:val="0"/>
          <w:numId w:val="2"/>
        </w:numPr>
        <w:spacing w:after="80" w:line="280"/>
      </w:pPr>
      <w:r>
        <w:rPr>
          <w:rFonts w:ascii="Calibri" w:cs="Calibri" w:eastAsia="Calibri" w:hAnsi="Calibri"/>
          <w:color w:val="334155"/>
          <w:sz w:val="22"/>
          <w:szCs w:val="22"/>
        </w:rPr>
        <w:t xml:space="preserve">Attendance at up to four (4) board or audit-committee meetings per year.</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4"/>
                <w:szCs w:val="24"/>
              </w:rPr>
              <w:t xml:space="preserve">4.9  Staff mentoring and interim hiring support</w:t>
            </w:r>
          </w:p>
        </w:tc>
      </w:tr>
    </w:tbl>
    <w:p>
      <w:pPr>
        <w:spacing w:after="120" w:line="300"/>
      </w:pPr>
      <w:r>
        <w:rPr>
          <w:rFonts w:ascii="Calibri" w:cs="Calibri" w:eastAsia="Calibri" w:hAnsi="Calibri"/>
          <w:b w:val="false"/>
          <w:bCs w:val="false"/>
          <w:i w:val="false"/>
          <w:iCs w:val="false"/>
          <w:color w:val="334155"/>
          <w:sz w:val="22"/>
          <w:szCs w:val="22"/>
        </w:rPr>
        <w:t xml:space="preserve">Coach the client's security-adjacent staff. Support the search for a full-time CISO or Director of Security when the client is ready to hire, including interview panels and onboarding.</w:t>
      </w:r>
    </w:p>
    <w:p>
      <w:pPr>
        <w:pStyle w:val="ListParagraph"/>
        <w:numPr>
          <w:ilvl w:val="0"/>
          <w:numId w:val="2"/>
        </w:numPr>
        <w:spacing w:after="80" w:line="280"/>
      </w:pPr>
      <w:r>
        <w:rPr>
          <w:rFonts w:ascii="Calibri" w:cs="Calibri" w:eastAsia="Calibri" w:hAnsi="Calibri"/>
          <w:color w:val="334155"/>
          <w:sz w:val="22"/>
          <w:szCs w:val="22"/>
        </w:rPr>
        <w:t xml:space="preserve">Ongoing mentoring of designated client staff on security practices.</w:t>
      </w:r>
    </w:p>
    <w:p>
      <w:pPr>
        <w:pStyle w:val="ListParagraph"/>
        <w:numPr>
          <w:ilvl w:val="0"/>
          <w:numId w:val="2"/>
        </w:numPr>
        <w:spacing w:after="80" w:line="280"/>
      </w:pPr>
      <w:r>
        <w:rPr>
          <w:rFonts w:ascii="Calibri" w:cs="Calibri" w:eastAsia="Calibri" w:hAnsi="Calibri"/>
          <w:color w:val="334155"/>
          <w:sz w:val="22"/>
          <w:szCs w:val="22"/>
        </w:rPr>
        <w:t xml:space="preserve">Job description authorship and candidate panel participation for a full-time security leader search.</w:t>
      </w:r>
    </w:p>
    <w:p>
      <w:pPr>
        <w:pStyle w:val="ListParagraph"/>
        <w:numPr>
          <w:ilvl w:val="0"/>
          <w:numId w:val="2"/>
        </w:numPr>
        <w:spacing w:after="80" w:line="280"/>
      </w:pPr>
      <w:r>
        <w:rPr>
          <w:rFonts w:ascii="Calibri" w:cs="Calibri" w:eastAsia="Calibri" w:hAnsi="Calibri"/>
          <w:color w:val="334155"/>
          <w:sz w:val="22"/>
          <w:szCs w:val="22"/>
        </w:rPr>
        <w:t xml:space="preserve">Structured handover when a successor is hired.</w:t>
      </w:r>
    </w:p>
    <w:p>
      <w:pPr>
        <w:spacing w:before="200"/>
      </w:pPr>
    </w:p>
    <w:p>
      <w:pPr>
        <w:pStyle w:val="Heading3"/>
        <w:spacing w:after="80" w:before="240"/>
      </w:pPr>
      <w:r>
        <w:rPr>
          <w:rFonts w:ascii="Calibri" w:cs="Calibri" w:eastAsia="Calibri" w:hAnsi="Calibri"/>
          <w:b/>
          <w:bCs/>
          <w:color w:val="0F1B2D"/>
          <w:sz w:val="24"/>
          <w:szCs w:val="24"/>
        </w:rPr>
        <w:t xml:space="preserve">Out of scope</w:t>
      </w:r>
    </w:p>
    <w:p>
      <w:pPr>
        <w:spacing w:after="120" w:line="300"/>
      </w:pPr>
      <w:r>
        <w:rPr>
          <w:rFonts w:ascii="Calibri" w:cs="Calibri" w:eastAsia="Calibri" w:hAnsi="Calibri"/>
          <w:b w:val="false"/>
          <w:bCs w:val="false"/>
          <w:i w:val="false"/>
          <w:iCs w:val="false"/>
          <w:color w:val="334155"/>
          <w:sz w:val="22"/>
          <w:szCs w:val="22"/>
        </w:rPr>
        <w:t xml:space="preserve">The services below are not performed under this SOW. They may be engaged under a separate Change Order or a new SOW.</w:t>
      </w:r>
    </w:p>
    <w:p>
      <w:pPr>
        <w:pStyle w:val="ListParagraph"/>
        <w:numPr>
          <w:ilvl w:val="0"/>
          <w:numId w:val="2"/>
        </w:numPr>
        <w:spacing w:after="80" w:line="280"/>
      </w:pPr>
      <w:r>
        <w:rPr>
          <w:rFonts w:ascii="Calibri" w:cs="Calibri" w:eastAsia="Calibri" w:hAnsi="Calibri"/>
          <w:color w:val="334155"/>
          <w:sz w:val="22"/>
          <w:szCs w:val="22"/>
        </w:rPr>
        <w:t xml:space="preserve">Hands-on engineering, configuration, or remediation of specific systems. The vCISO directs and reviews; execution is performed by the client's engineering team or by a Connvertex delivery team under a separate SOW.</w:t>
      </w:r>
    </w:p>
    <w:p>
      <w:pPr>
        <w:pStyle w:val="ListParagraph"/>
        <w:numPr>
          <w:ilvl w:val="0"/>
          <w:numId w:val="2"/>
        </w:numPr>
        <w:spacing w:after="80" w:line="280"/>
      </w:pPr>
      <w:r>
        <w:rPr>
          <w:rFonts w:ascii="Calibri" w:cs="Calibri" w:eastAsia="Calibri" w:hAnsi="Calibri"/>
          <w:color w:val="334155"/>
          <w:sz w:val="22"/>
          <w:szCs w:val="22"/>
        </w:rPr>
        <w:t xml:space="preserve">Penetration testing, red team engagements, or offensive security services. Delivered by the Connvertex offensive security team under a separate SOW when requested.</w:t>
      </w:r>
    </w:p>
    <w:p>
      <w:pPr>
        <w:pStyle w:val="ListParagraph"/>
        <w:numPr>
          <w:ilvl w:val="0"/>
          <w:numId w:val="2"/>
        </w:numPr>
        <w:spacing w:after="80" w:line="280"/>
      </w:pPr>
      <w:r>
        <w:rPr>
          <w:rFonts w:ascii="Calibri" w:cs="Calibri" w:eastAsia="Calibri" w:hAnsi="Calibri"/>
          <w:color w:val="334155"/>
          <w:sz w:val="22"/>
          <w:szCs w:val="22"/>
        </w:rPr>
        <w:t xml:space="preserve">Twenty-four-by-seven incident response coverage or managed detection and response. Available from the Connvertex detection and response bench under a separate SOW.</w:t>
      </w:r>
    </w:p>
    <w:p>
      <w:pPr>
        <w:pStyle w:val="ListParagraph"/>
        <w:numPr>
          <w:ilvl w:val="0"/>
          <w:numId w:val="2"/>
        </w:numPr>
        <w:spacing w:after="80" w:line="280"/>
      </w:pPr>
      <w:r>
        <w:rPr>
          <w:rFonts w:ascii="Calibri" w:cs="Calibri" w:eastAsia="Calibri" w:hAnsi="Calibri"/>
          <w:color w:val="334155"/>
          <w:sz w:val="22"/>
          <w:szCs w:val="22"/>
        </w:rPr>
        <w:t xml:space="preserve">Legal advice, privacy counsel, or regulatory filings. The vCISO coordinates with the client's legal counsel and privacy officer but does not substitute for either.</w:t>
      </w:r>
    </w:p>
    <w:p>
      <w:pPr>
        <w:pStyle w:val="ListParagraph"/>
        <w:numPr>
          <w:ilvl w:val="0"/>
          <w:numId w:val="2"/>
        </w:numPr>
        <w:spacing w:after="80" w:line="280"/>
      </w:pPr>
      <w:r>
        <w:rPr>
          <w:rFonts w:ascii="Calibri" w:cs="Calibri" w:eastAsia="Calibri" w:hAnsi="Calibri"/>
          <w:color w:val="334155"/>
          <w:sz w:val="22"/>
          <w:szCs w:val="22"/>
        </w:rPr>
        <w:t xml:space="preserve">Payroll, benefits, or workforce management advisory. HR-adjacent matters fall to the client's HR function.</w:t>
      </w:r>
    </w:p>
    <w:p>
      <w:r>
        <w:br w:type="page"/>
      </w:r>
    </w:p>
    <w:p>
      <w:pPr>
        <w:spacing w:after="60" w:before="120"/>
      </w:pPr>
      <w:r>
        <w:rPr>
          <w:rFonts w:ascii="Calibri" w:cs="Calibri" w:eastAsia="Calibri" w:hAnsi="Calibri"/>
          <w:b/>
          <w:bCs/>
          <w:color w:val="16A34A"/>
          <w:spacing w:val="60"/>
          <w:sz w:val="18"/>
          <w:szCs w:val="18"/>
        </w:rPr>
        <w:t xml:space="preserve">SECTION 05</w:t>
      </w:r>
    </w:p>
    <w:p>
      <w:pPr>
        <w:pStyle w:val="Heading1"/>
        <w:spacing w:after="200" w:before="480"/>
      </w:pPr>
      <w:r>
        <w:rPr>
          <w:rFonts w:ascii="Calibri" w:cs="Calibri" w:eastAsia="Calibri" w:hAnsi="Calibri"/>
          <w:b/>
          <w:bCs/>
          <w:color w:val="0F1B2D"/>
          <w:sz w:val="40"/>
          <w:szCs w:val="40"/>
        </w:rPr>
        <w:t xml:space="preserve">Deliverables schedule</w:t>
      </w:r>
    </w:p>
    <w:p>
      <w:pPr>
        <w:spacing w:after="120" w:line="300"/>
      </w:pPr>
      <w:r>
        <w:rPr>
          <w:rFonts w:ascii="Calibri" w:cs="Calibri" w:eastAsia="Calibri" w:hAnsi="Calibri"/>
          <w:b w:val="false"/>
          <w:bCs w:val="false"/>
          <w:i w:val="false"/>
          <w:iCs w:val="false"/>
          <w:color w:val="334155"/>
          <w:sz w:val="22"/>
          <w:szCs w:val="22"/>
        </w:rPr>
        <w:t xml:space="preserve">Written artifacts Connvertex will produce, the cadence on which each is produced, and how each is accepted.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2200"/>
        <w:gridCol w:w="1300"/>
        <w:gridCol w:w="2560"/>
      </w:tblGrid>
      <w:tr>
        <w:trPr>
          <w:tblHeader/>
        </w:trPr>
        <w:tc>
          <w:tcPr>
            <w:tcW w:type="dxa" w:w="9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ID</w:t>
            </w:r>
          </w:p>
        </w:tc>
        <w:tc>
          <w:tcPr>
            <w:tcW w:type="dxa" w:w="24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Deliverable</w:t>
            </w:r>
          </w:p>
        </w:tc>
        <w:tc>
          <w:tcPr>
            <w:tcW w:type="dxa" w:w="22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Cadence</w:t>
            </w:r>
          </w:p>
        </w:tc>
        <w:tc>
          <w:tcPr>
            <w:tcW w:type="dxa" w:w="13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Owner</w:t>
            </w:r>
          </w:p>
        </w:tc>
        <w:tc>
          <w:tcPr>
            <w:tcW w:type="dxa" w:w="256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Acceptance</w:t>
            </w:r>
          </w:p>
        </w:tc>
      </w:tr>
      <w:tr>
        <w:tc>
          <w:tcPr>
            <w:tcW w:type="dxa" w:w="9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D-01</w:t>
            </w:r>
          </w:p>
        </w:tc>
        <w:tc>
          <w:tcPr>
            <w:tcW w:type="dxa" w:w="2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Security program charter (v1)</w:t>
            </w:r>
          </w:p>
        </w:tc>
        <w:tc>
          <w:tcPr>
            <w:tcW w:type="dxa" w:w="2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30 days of start</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Signed by the client executive sponsor.</w:t>
            </w:r>
          </w:p>
        </w:tc>
      </w:tr>
      <w:tr>
        <w:tc>
          <w:tcPr>
            <w:tcW w:type="dxa" w:w="9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D-02</w:t>
            </w:r>
          </w:p>
        </w:tc>
        <w:tc>
          <w:tcPr>
            <w:tcW w:type="dxa" w:w="2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Risk register and POA&amp;M (initial build)</w:t>
            </w:r>
          </w:p>
        </w:tc>
        <w:tc>
          <w:tcPr>
            <w:tcW w:type="dxa" w:w="2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60 days of start</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Reviewed in the monthly security review and signed off by the executive sponsor.</w:t>
            </w:r>
          </w:p>
        </w:tc>
      </w:tr>
      <w:tr>
        <w:tc>
          <w:tcPr>
            <w:tcW w:type="dxa" w:w="9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D-03</w:t>
            </w:r>
          </w:p>
        </w:tc>
        <w:tc>
          <w:tcPr>
            <w:tcW w:type="dxa" w:w="2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SOC 2 readiness opinion (Type I)</w:t>
            </w:r>
          </w:p>
        </w:tc>
        <w:tc>
          <w:tcPr>
            <w:tcW w:type="dxa" w:w="2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90 days of start</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Delivered as a written memo; accepted when the client selects the AICPA auditor of record.</w:t>
            </w:r>
          </w:p>
        </w:tc>
      </w:tr>
      <w:tr>
        <w:tc>
          <w:tcPr>
            <w:tcW w:type="dxa" w:w="9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D-04</w:t>
            </w:r>
          </w:p>
        </w:tc>
        <w:tc>
          <w:tcPr>
            <w:tcW w:type="dxa" w:w="2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HIPAA Security Rule risk analysis</w:t>
            </w:r>
          </w:p>
        </w:tc>
        <w:tc>
          <w:tcPr>
            <w:tcW w:type="dxa" w:w="2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90 days; annual refresh</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Accepted when signed by the executive sponsor and filed in the compliance repository.</w:t>
            </w:r>
          </w:p>
        </w:tc>
      </w:tr>
      <w:tr>
        <w:tc>
          <w:tcPr>
            <w:tcW w:type="dxa" w:w="9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D-05</w:t>
            </w:r>
          </w:p>
        </w:tc>
        <w:tc>
          <w:tcPr>
            <w:tcW w:type="dxa" w:w="2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Policy binder (v1)</w:t>
            </w:r>
          </w:p>
        </w:tc>
        <w:tc>
          <w:tcPr>
            <w:tcW w:type="dxa" w:w="2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120 days of start</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Signed by the executive sponsor; published to the client workforce.</w:t>
            </w:r>
          </w:p>
        </w:tc>
      </w:tr>
      <w:tr>
        <w:tc>
          <w:tcPr>
            <w:tcW w:type="dxa" w:w="9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D-06</w:t>
            </w:r>
          </w:p>
        </w:tc>
        <w:tc>
          <w:tcPr>
            <w:tcW w:type="dxa" w:w="2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Monthly executive read-out</w:t>
            </w:r>
          </w:p>
        </w:tc>
        <w:tc>
          <w:tcPr>
            <w:tcW w:type="dxa" w:w="2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Monthly, on the first business day</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Delivered by email and reviewed in the monthly meeting.</w:t>
            </w:r>
          </w:p>
        </w:tc>
      </w:tr>
      <w:tr>
        <w:tc>
          <w:tcPr>
            <w:tcW w:type="dxa" w:w="9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D-07</w:t>
            </w:r>
          </w:p>
        </w:tc>
        <w:tc>
          <w:tcPr>
            <w:tcW w:type="dxa" w:w="2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Quarterly board brief</w:t>
            </w:r>
          </w:p>
        </w:tc>
        <w:tc>
          <w:tcPr>
            <w:tcW w:type="dxa" w:w="2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Quarterly, 14 days before the board meeting</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Delivered to the executive sponsor and board liaison; requested edits returned within seven (7) days.</w:t>
            </w:r>
          </w:p>
        </w:tc>
      </w:tr>
      <w:tr>
        <w:tc>
          <w:tcPr>
            <w:tcW w:type="dxa" w:w="9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D-08</w:t>
            </w:r>
          </w:p>
        </w:tc>
        <w:tc>
          <w:tcPr>
            <w:tcW w:type="dxa" w:w="2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Incident response plan</w:t>
            </w:r>
          </w:p>
        </w:tc>
        <w:tc>
          <w:tcPr>
            <w:tcW w:type="dxa" w:w="2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Once, within 120 days; reviewed annually</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Signed by the executive sponsor.</w:t>
            </w:r>
          </w:p>
        </w:tc>
      </w:tr>
      <w:tr>
        <w:tc>
          <w:tcPr>
            <w:tcW w:type="dxa" w:w="9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D-09</w:t>
            </w:r>
          </w:p>
        </w:tc>
        <w:tc>
          <w:tcPr>
            <w:tcW w:type="dxa" w:w="2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Annual tabletop and after-action report</w:t>
            </w:r>
          </w:p>
        </w:tc>
        <w:tc>
          <w:tcPr>
            <w:tcW w:type="dxa" w:w="2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Annual</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Accepted when the after-action report is delivered and corrective actions are entered in the POA&amp;M.</w:t>
            </w:r>
          </w:p>
        </w:tc>
      </w:tr>
      <w:tr>
        <w:tc>
          <w:tcPr>
            <w:tcW w:type="dxa" w:w="9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onsolas" w:cs="Consolas" w:eastAsia="Consolas" w:hAnsi="Consolas"/>
                <w:b/>
                <w:bCs/>
                <w:color w:val="334155"/>
                <w:sz w:val="20"/>
                <w:szCs w:val="20"/>
              </w:rPr>
              <w:t xml:space="preserve">D-10</w:t>
            </w:r>
          </w:p>
        </w:tc>
        <w:tc>
          <w:tcPr>
            <w:tcW w:type="dxa" w:w="2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Vendor inventory and annual re-review</w:t>
            </w:r>
          </w:p>
        </w:tc>
        <w:tc>
          <w:tcPr>
            <w:tcW w:type="dxa" w:w="2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Inventory continuous; annual re-review</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Connvertex</w:t>
            </w:r>
          </w:p>
        </w:tc>
        <w:tc>
          <w:tcPr>
            <w:tcW w:type="dxa" w:w="25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64748B"/>
                <w:sz w:val="20"/>
                <w:szCs w:val="20"/>
              </w:rPr>
              <w:t xml:space="preserve">Accepted on annual review sign-off by the executive sponsor.</w:t>
            </w:r>
          </w:p>
        </w:tc>
      </w:tr>
    </w:tbl>
    <w:p>
      <w:pPr>
        <w:pStyle w:val="Heading3"/>
        <w:spacing w:after="80" w:before="240"/>
      </w:pPr>
      <w:r>
        <w:rPr>
          <w:rFonts w:ascii="Calibri" w:cs="Calibri" w:eastAsia="Calibri" w:hAnsi="Calibri"/>
          <w:b/>
          <w:bCs/>
          <w:color w:val="0F1B2D"/>
          <w:sz w:val="24"/>
          <w:szCs w:val="24"/>
        </w:rPr>
        <w:t xml:space="preserve">Acceptance process</w:t>
      </w:r>
    </w:p>
    <w:p>
      <w:pPr>
        <w:spacing w:after="120" w:line="300"/>
      </w:pPr>
      <w:r>
        <w:rPr>
          <w:rFonts w:ascii="Calibri" w:cs="Calibri" w:eastAsia="Calibri" w:hAnsi="Calibri"/>
          <w:b w:val="false"/>
          <w:bCs w:val="false"/>
          <w:i w:val="false"/>
          <w:iCs w:val="false"/>
          <w:color w:val="334155"/>
          <w:sz w:val="22"/>
          <w:szCs w:val="22"/>
        </w:rPr>
        <w:t xml:space="preserve">Each deliverable is deemed accepted on the earlier of (a) written acceptance by the client executive sponsor, or (b) seven (7) business days after delivery if no written objection has been received. Objections must be specific and in writing; Connvertex will address legitimate objections within seven (7) business days of receipt.</w:t>
      </w:r>
    </w:p>
    <w:p>
      <w:r>
        <w:br w:type="page"/>
      </w:r>
    </w:p>
    <w:p>
      <w:pPr>
        <w:spacing w:after="60" w:before="120"/>
      </w:pPr>
      <w:r>
        <w:rPr>
          <w:rFonts w:ascii="Calibri" w:cs="Calibri" w:eastAsia="Calibri" w:hAnsi="Calibri"/>
          <w:b/>
          <w:bCs/>
          <w:color w:val="16A34A"/>
          <w:spacing w:val="60"/>
          <w:sz w:val="18"/>
          <w:szCs w:val="18"/>
        </w:rPr>
        <w:t xml:space="preserve">SECTION 06</w:t>
      </w:r>
    </w:p>
    <w:p>
      <w:pPr>
        <w:pStyle w:val="Heading1"/>
        <w:spacing w:after="200" w:before="480"/>
      </w:pPr>
      <w:r>
        <w:rPr>
          <w:rFonts w:ascii="Calibri" w:cs="Calibri" w:eastAsia="Calibri" w:hAnsi="Calibri"/>
          <w:b/>
          <w:bCs/>
          <w:color w:val="0F1B2D"/>
          <w:sz w:val="40"/>
          <w:szCs w:val="40"/>
        </w:rPr>
        <w:t xml:space="preserve">Timeline and milestones</w:t>
      </w:r>
    </w:p>
    <w:p>
      <w:pPr>
        <w:spacing w:after="120" w:line="300"/>
      </w:pPr>
      <w:r>
        <w:rPr>
          <w:rFonts w:ascii="Calibri" w:cs="Calibri" w:eastAsia="Calibri" w:hAnsi="Calibri"/>
          <w:b w:val="false"/>
          <w:bCs w:val="false"/>
          <w:i w:val="false"/>
          <w:iCs w:val="false"/>
          <w:color w:val="334155"/>
          <w:sz w:val="22"/>
          <w:szCs w:val="22"/>
        </w:rPr>
        <w:t xml:space="preserve">The operating sequence for the initial term. Dates assume the Effective Date on the cover as Day 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2"/>
                <w:szCs w:val="22"/>
              </w:rPr>
              <w:t xml:space="preserve">Day 0 – 30  ·  Program stand-up</w:t>
            </w:r>
          </w:p>
        </w:tc>
      </w:tr>
    </w:tbl>
    <w:p>
      <w:pPr>
        <w:pStyle w:val="ListParagraph"/>
        <w:numPr>
          <w:ilvl w:val="0"/>
          <w:numId w:val="2"/>
        </w:numPr>
        <w:spacing w:after="80" w:line="280"/>
      </w:pPr>
      <w:r>
        <w:rPr>
          <w:rFonts w:ascii="Calibri" w:cs="Calibri" w:eastAsia="Calibri" w:hAnsi="Calibri"/>
          <w:color w:val="334155"/>
          <w:sz w:val="22"/>
          <w:szCs w:val="22"/>
        </w:rPr>
        <w:t xml:space="preserve">Kickoff, access provisioning, and stakeholder onboarding complete.</w:t>
      </w:r>
    </w:p>
    <w:p>
      <w:pPr>
        <w:pStyle w:val="ListParagraph"/>
        <w:numPr>
          <w:ilvl w:val="0"/>
          <w:numId w:val="2"/>
        </w:numPr>
        <w:spacing w:after="80" w:line="280"/>
      </w:pPr>
      <w:r>
        <w:rPr>
          <w:rFonts w:ascii="Calibri" w:cs="Calibri" w:eastAsia="Calibri" w:hAnsi="Calibri"/>
          <w:color w:val="334155"/>
          <w:sz w:val="22"/>
          <w:szCs w:val="22"/>
        </w:rPr>
        <w:t xml:space="preserve">Security program charter (D-01) delivered and signed.</w:t>
      </w:r>
    </w:p>
    <w:p>
      <w:pPr>
        <w:pStyle w:val="ListParagraph"/>
        <w:numPr>
          <w:ilvl w:val="0"/>
          <w:numId w:val="2"/>
        </w:numPr>
        <w:spacing w:after="80" w:line="280"/>
      </w:pPr>
      <w:r>
        <w:rPr>
          <w:rFonts w:ascii="Calibri" w:cs="Calibri" w:eastAsia="Calibri" w:hAnsi="Calibri"/>
          <w:color w:val="334155"/>
          <w:sz w:val="22"/>
          <w:szCs w:val="22"/>
        </w:rPr>
        <w:t xml:space="preserve">Weekly and monthly cadence in place with the first review run.</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2"/>
                <w:szCs w:val="22"/>
              </w:rPr>
              <w:t xml:space="preserve">Day 31 – 60  ·  Risk and policy baseline</w:t>
            </w:r>
          </w:p>
        </w:tc>
      </w:tr>
    </w:tbl>
    <w:p>
      <w:pPr>
        <w:pStyle w:val="ListParagraph"/>
        <w:numPr>
          <w:ilvl w:val="0"/>
          <w:numId w:val="2"/>
        </w:numPr>
        <w:spacing w:after="80" w:line="280"/>
      </w:pPr>
      <w:r>
        <w:rPr>
          <w:rFonts w:ascii="Calibri" w:cs="Calibri" w:eastAsia="Calibri" w:hAnsi="Calibri"/>
          <w:color w:val="334155"/>
          <w:sz w:val="22"/>
          <w:szCs w:val="22"/>
        </w:rPr>
        <w:t xml:space="preserve">Risk register and POA&amp;M (D-02) built and reviewed.</w:t>
      </w:r>
    </w:p>
    <w:p>
      <w:pPr>
        <w:pStyle w:val="ListParagraph"/>
        <w:numPr>
          <w:ilvl w:val="0"/>
          <w:numId w:val="2"/>
        </w:numPr>
        <w:spacing w:after="80" w:line="280"/>
      </w:pPr>
      <w:r>
        <w:rPr>
          <w:rFonts w:ascii="Calibri" w:cs="Calibri" w:eastAsia="Calibri" w:hAnsi="Calibri"/>
          <w:color w:val="334155"/>
          <w:sz w:val="22"/>
          <w:szCs w:val="22"/>
        </w:rPr>
        <w:t xml:space="preserve">Top ten policies drafted; remaining policies scoped.</w:t>
      </w:r>
    </w:p>
    <w:p>
      <w:pPr>
        <w:pStyle w:val="ListParagraph"/>
        <w:numPr>
          <w:ilvl w:val="0"/>
          <w:numId w:val="2"/>
        </w:numPr>
        <w:spacing w:after="80" w:line="280"/>
      </w:pPr>
      <w:r>
        <w:rPr>
          <w:rFonts w:ascii="Calibri" w:cs="Calibri" w:eastAsia="Calibri" w:hAnsi="Calibri"/>
          <w:color w:val="334155"/>
          <w:sz w:val="22"/>
          <w:szCs w:val="22"/>
        </w:rPr>
        <w:t xml:space="preserve">First monthly executive read-out delivered.</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2"/>
                <w:szCs w:val="22"/>
              </w:rPr>
              <w:t xml:space="preserve">Day 61 – 90  ·  Compliance foundation</w:t>
            </w:r>
          </w:p>
        </w:tc>
      </w:tr>
    </w:tbl>
    <w:p>
      <w:pPr>
        <w:pStyle w:val="ListParagraph"/>
        <w:numPr>
          <w:ilvl w:val="0"/>
          <w:numId w:val="2"/>
        </w:numPr>
        <w:spacing w:after="80" w:line="280"/>
      </w:pPr>
      <w:r>
        <w:rPr>
          <w:rFonts w:ascii="Calibri" w:cs="Calibri" w:eastAsia="Calibri" w:hAnsi="Calibri"/>
          <w:color w:val="334155"/>
          <w:sz w:val="22"/>
          <w:szCs w:val="22"/>
        </w:rPr>
        <w:t xml:space="preserve">SOC 2 readiness opinion (D-03) delivered; auditor selected.</w:t>
      </w:r>
    </w:p>
    <w:p>
      <w:pPr>
        <w:pStyle w:val="ListParagraph"/>
        <w:numPr>
          <w:ilvl w:val="0"/>
          <w:numId w:val="2"/>
        </w:numPr>
        <w:spacing w:after="80" w:line="280"/>
      </w:pPr>
      <w:r>
        <w:rPr>
          <w:rFonts w:ascii="Calibri" w:cs="Calibri" w:eastAsia="Calibri" w:hAnsi="Calibri"/>
          <w:color w:val="334155"/>
          <w:sz w:val="22"/>
          <w:szCs w:val="22"/>
        </w:rPr>
        <w:t xml:space="preserve">HIPAA risk analysis (D-04) delivered.</w:t>
      </w:r>
    </w:p>
    <w:p>
      <w:pPr>
        <w:pStyle w:val="ListParagraph"/>
        <w:numPr>
          <w:ilvl w:val="0"/>
          <w:numId w:val="2"/>
        </w:numPr>
        <w:spacing w:after="80" w:line="280"/>
      </w:pPr>
      <w:r>
        <w:rPr>
          <w:rFonts w:ascii="Calibri" w:cs="Calibri" w:eastAsia="Calibri" w:hAnsi="Calibri"/>
          <w:color w:val="334155"/>
          <w:sz w:val="22"/>
          <w:szCs w:val="22"/>
        </w:rPr>
        <w:t xml:space="preserve">Tabletop scenario and date booked with executive leadership.</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2"/>
                <w:szCs w:val="22"/>
              </w:rPr>
              <w:t xml:space="preserve">Day 91 – 120  ·  Operate the paper</w:t>
            </w:r>
          </w:p>
        </w:tc>
      </w:tr>
    </w:tbl>
    <w:p>
      <w:pPr>
        <w:pStyle w:val="ListParagraph"/>
        <w:numPr>
          <w:ilvl w:val="0"/>
          <w:numId w:val="2"/>
        </w:numPr>
        <w:spacing w:after="80" w:line="280"/>
      </w:pPr>
      <w:r>
        <w:rPr>
          <w:rFonts w:ascii="Calibri" w:cs="Calibri" w:eastAsia="Calibri" w:hAnsi="Calibri"/>
          <w:color w:val="334155"/>
          <w:sz w:val="22"/>
          <w:szCs w:val="22"/>
        </w:rPr>
        <w:t xml:space="preserve">Policy binder (D-05) signed and published.</w:t>
      </w:r>
    </w:p>
    <w:p>
      <w:pPr>
        <w:pStyle w:val="ListParagraph"/>
        <w:numPr>
          <w:ilvl w:val="0"/>
          <w:numId w:val="2"/>
        </w:numPr>
        <w:spacing w:after="80" w:line="280"/>
      </w:pPr>
      <w:r>
        <w:rPr>
          <w:rFonts w:ascii="Calibri" w:cs="Calibri" w:eastAsia="Calibri" w:hAnsi="Calibri"/>
          <w:color w:val="334155"/>
          <w:sz w:val="22"/>
          <w:szCs w:val="22"/>
        </w:rPr>
        <w:t xml:space="preserve">Incident response plan (D-08) signed.</w:t>
      </w:r>
    </w:p>
    <w:p>
      <w:pPr>
        <w:pStyle w:val="ListParagraph"/>
        <w:numPr>
          <w:ilvl w:val="0"/>
          <w:numId w:val="2"/>
        </w:numPr>
        <w:spacing w:after="80" w:line="280"/>
      </w:pPr>
      <w:r>
        <w:rPr>
          <w:rFonts w:ascii="Calibri" w:cs="Calibri" w:eastAsia="Calibri" w:hAnsi="Calibri"/>
          <w:color w:val="334155"/>
          <w:sz w:val="22"/>
          <w:szCs w:val="22"/>
        </w:rPr>
        <w:t xml:space="preserve">First tabletop exercise completed; after-action report filed.</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shd w:fill="0F1B2D" w:val="clear"/>
            <w:tcMar>
              <w:top w:type="dxa" w:w="100"/>
              <w:left w:type="dxa" w:w="200"/>
              <w:bottom w:type="dxa" w:w="100"/>
              <w:right w:type="dxa" w:w="200"/>
            </w:tcMar>
          </w:tcPr>
          <w:p>
            <w:r>
              <w:rPr>
                <w:rFonts w:ascii="Calibri" w:cs="Calibri" w:eastAsia="Calibri" w:hAnsi="Calibri"/>
                <w:b/>
                <w:bCs/>
                <w:color w:val="FFFFFF"/>
                <w:sz w:val="22"/>
                <w:szCs w:val="22"/>
              </w:rPr>
              <w:t xml:space="preserve">Month 5 and beyond  ·  Steady state</w:t>
            </w:r>
          </w:p>
        </w:tc>
      </w:tr>
    </w:tbl>
    <w:p>
      <w:pPr>
        <w:pStyle w:val="ListParagraph"/>
        <w:numPr>
          <w:ilvl w:val="0"/>
          <w:numId w:val="2"/>
        </w:numPr>
        <w:spacing w:after="80" w:line="280"/>
      </w:pPr>
      <w:r>
        <w:rPr>
          <w:rFonts w:ascii="Calibri" w:cs="Calibri" w:eastAsia="Calibri" w:hAnsi="Calibri"/>
          <w:color w:val="334155"/>
          <w:sz w:val="22"/>
          <w:szCs w:val="22"/>
        </w:rPr>
        <w:t xml:space="preserve">SOC 2 Type II observation window open and evidence accumulating.</w:t>
      </w:r>
    </w:p>
    <w:p>
      <w:pPr>
        <w:pStyle w:val="ListParagraph"/>
        <w:numPr>
          <w:ilvl w:val="0"/>
          <w:numId w:val="2"/>
        </w:numPr>
        <w:spacing w:after="80" w:line="280"/>
      </w:pPr>
      <w:r>
        <w:rPr>
          <w:rFonts w:ascii="Calibri" w:cs="Calibri" w:eastAsia="Calibri" w:hAnsi="Calibri"/>
          <w:color w:val="334155"/>
          <w:sz w:val="22"/>
          <w:szCs w:val="22"/>
        </w:rPr>
        <w:t xml:space="preserve">Quarterly board brief delivered on schedule.</w:t>
      </w:r>
    </w:p>
    <w:p>
      <w:pPr>
        <w:pStyle w:val="ListParagraph"/>
        <w:numPr>
          <w:ilvl w:val="0"/>
          <w:numId w:val="2"/>
        </w:numPr>
        <w:spacing w:after="80" w:line="280"/>
      </w:pPr>
      <w:r>
        <w:rPr>
          <w:rFonts w:ascii="Calibri" w:cs="Calibri" w:eastAsia="Calibri" w:hAnsi="Calibri"/>
          <w:color w:val="334155"/>
          <w:sz w:val="22"/>
          <w:szCs w:val="22"/>
        </w:rPr>
        <w:t xml:space="preserve">Annual policy and HIPAA risk-analysis refresh cycle established.</w:t>
      </w:r>
    </w:p>
    <w:p>
      <w:pPr>
        <w:spacing w:after="200"/>
      </w:pPr>
    </w:p>
    <w:p>
      <w:r>
        <w:br w:type="page"/>
      </w:r>
    </w:p>
    <w:p>
      <w:pPr>
        <w:spacing w:after="60" w:before="120"/>
      </w:pPr>
      <w:r>
        <w:rPr>
          <w:rFonts w:ascii="Calibri" w:cs="Calibri" w:eastAsia="Calibri" w:hAnsi="Calibri"/>
          <w:b/>
          <w:bCs/>
          <w:color w:val="16A34A"/>
          <w:spacing w:val="60"/>
          <w:sz w:val="18"/>
          <w:szCs w:val="18"/>
        </w:rPr>
        <w:t xml:space="preserve">SECTION 07</w:t>
      </w:r>
    </w:p>
    <w:p>
      <w:pPr>
        <w:pStyle w:val="Heading1"/>
        <w:spacing w:after="200" w:before="480"/>
      </w:pPr>
      <w:r>
        <w:rPr>
          <w:rFonts w:ascii="Calibri" w:cs="Calibri" w:eastAsia="Calibri" w:hAnsi="Calibri"/>
          <w:b/>
          <w:bCs/>
          <w:color w:val="0F1B2D"/>
          <w:sz w:val="40"/>
          <w:szCs w:val="40"/>
        </w:rPr>
        <w:t xml:space="preserve">Roles and responsibilities</w:t>
      </w:r>
    </w:p>
    <w:p>
      <w:pPr>
        <w:spacing w:after="120" w:line="300"/>
      </w:pPr>
      <w:r>
        <w:rPr>
          <w:rFonts w:ascii="Calibri" w:cs="Calibri" w:eastAsia="Calibri" w:hAnsi="Calibri"/>
          <w:b w:val="false"/>
          <w:bCs w:val="false"/>
          <w:i w:val="false"/>
          <w:iCs w:val="false"/>
          <w:color w:val="334155"/>
          <w:sz w:val="22"/>
          <w:szCs w:val="22"/>
        </w:rPr>
        <w:t xml:space="preserve">RACI across Connvertex and Client roles. Legend at the end of this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60"/>
        <w:gridCol w:w="1600"/>
        <w:gridCol w:w="1300"/>
        <w:gridCol w:w="1400"/>
        <w:gridCol w:w="1200"/>
      </w:tblGrid>
      <w:tr>
        <w:trPr>
          <w:tblHeader/>
        </w:trPr>
        <w:tc>
          <w:tcPr>
            <w:tcW w:type="dxa" w:w="386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Activity</w:t>
            </w:r>
          </w:p>
        </w:tc>
        <w:tc>
          <w:tcPr>
            <w:tcW w:type="dxa" w:w="16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Connvertex</w:t>
            </w:r>
          </w:p>
        </w:tc>
        <w:tc>
          <w:tcPr>
            <w:tcW w:type="dxa" w:w="13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Client POC</w:t>
            </w:r>
          </w:p>
        </w:tc>
        <w:tc>
          <w:tcPr>
            <w:tcW w:type="dxa" w:w="14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Client Sponsor</w:t>
            </w:r>
          </w:p>
        </w:tc>
        <w:tc>
          <w:tcPr>
            <w:tcW w:type="dxa" w:w="12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Client Eng.</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Security program charter and charter updates</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r>
      <w:tr>
        <w:tc>
          <w:tcPr>
            <w:tcW w:type="dxa" w:w="38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Risk register and POA&amp;M ownership</w:t>
            </w:r>
          </w:p>
        </w:tc>
        <w:tc>
          <w:tcPr>
            <w:tcW w:type="dxa" w:w="16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c>
          <w:tcPr>
            <w:tcW w:type="dxa" w:w="1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SOC 2 scope, System Description, auditor selection</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r>
      <w:tr>
        <w:tc>
          <w:tcPr>
            <w:tcW w:type="dxa" w:w="38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HIPAA risk analysis and safeguard testing</w:t>
            </w:r>
          </w:p>
        </w:tc>
        <w:tc>
          <w:tcPr>
            <w:tcW w:type="dxa" w:w="16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Policy authorship and maintenance</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r>
      <w:tr>
        <w:tc>
          <w:tcPr>
            <w:tcW w:type="dxa" w:w="38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Policy publication to the workforce</w:t>
            </w:r>
          </w:p>
        </w:tc>
        <w:tc>
          <w:tcPr>
            <w:tcW w:type="dxa" w:w="16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C</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w:t>
            </w:r>
          </w:p>
        </w:tc>
        <w:tc>
          <w:tcPr>
            <w:tcW w:type="dxa" w:w="1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Remediation of technical findings</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C</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 A</w:t>
            </w:r>
          </w:p>
        </w:tc>
      </w:tr>
      <w:tr>
        <w:tc>
          <w:tcPr>
            <w:tcW w:type="dxa" w:w="38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Incident response (declaration and command)</w:t>
            </w:r>
          </w:p>
        </w:tc>
        <w:tc>
          <w:tcPr>
            <w:tcW w:type="dxa" w:w="16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c>
          <w:tcPr>
            <w:tcW w:type="dxa" w:w="1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Vendor risk triage and contract review</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r>
      <w:tr>
        <w:tc>
          <w:tcPr>
            <w:tcW w:type="dxa" w:w="38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Board and audit-committee reporting</w:t>
            </w:r>
          </w:p>
        </w:tc>
        <w:tc>
          <w:tcPr>
            <w:tcW w:type="dxa" w:w="16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 A</w:t>
            </w:r>
          </w:p>
        </w:tc>
        <w:tc>
          <w:tcPr>
            <w:tcW w:type="dxa" w:w="13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w:t>
            </w:r>
          </w:p>
        </w:tc>
        <w:tc>
          <w:tcPr>
            <w:tcW w:type="dxa" w:w="1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r>
      <w:tr>
        <w:tc>
          <w:tcPr>
            <w:tcW w:type="dxa" w:w="38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Hiring a full-time CISO when ready</w:t>
            </w:r>
          </w:p>
        </w:tc>
        <w:tc>
          <w:tcPr>
            <w:tcW w:type="dxa" w:w="16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C</w:t>
            </w:r>
          </w:p>
        </w:tc>
        <w:tc>
          <w:tcPr>
            <w:tcW w:type="dxa" w:w="13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C</w:t>
            </w:r>
          </w:p>
        </w:tc>
        <w:tc>
          <w:tcPr>
            <w:tcW w:type="dxa" w:w="1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 A</w:t>
            </w:r>
          </w:p>
        </w:tc>
        <w:tc>
          <w:tcPr>
            <w:tcW w:type="dxa" w:w="1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I</w:t>
            </w:r>
          </w:p>
        </w:tc>
      </w:tr>
    </w:tbl>
    <w:p>
      <w:pPr>
        <w:pStyle w:val="Heading3"/>
        <w:spacing w:after="80" w:before="240"/>
      </w:pPr>
      <w:r>
        <w:rPr>
          <w:rFonts w:ascii="Calibri" w:cs="Calibri" w:eastAsia="Calibri" w:hAnsi="Calibri"/>
          <w:b/>
          <w:bCs/>
          <w:color w:val="0F1B2D"/>
          <w:sz w:val="24"/>
          <w:szCs w:val="24"/>
        </w:rPr>
        <w:t xml:space="preserve">Legend</w:t>
      </w:r>
    </w:p>
    <w:p>
      <w:pPr>
        <w:pStyle w:val="ListParagraph"/>
        <w:numPr>
          <w:ilvl w:val="0"/>
          <w:numId w:val="2"/>
        </w:numPr>
        <w:spacing w:after="80" w:line="280"/>
      </w:pPr>
      <w:r>
        <w:rPr>
          <w:rFonts w:ascii="Calibri" w:cs="Calibri" w:eastAsia="Calibri" w:hAnsi="Calibri"/>
          <w:color w:val="334155"/>
          <w:sz w:val="22"/>
          <w:szCs w:val="22"/>
        </w:rPr>
        <w:t xml:space="preserve">R — Responsible. Does the work.</w:t>
      </w:r>
    </w:p>
    <w:p>
      <w:pPr>
        <w:pStyle w:val="ListParagraph"/>
        <w:numPr>
          <w:ilvl w:val="0"/>
          <w:numId w:val="2"/>
        </w:numPr>
        <w:spacing w:after="80" w:line="280"/>
      </w:pPr>
      <w:r>
        <w:rPr>
          <w:rFonts w:ascii="Calibri" w:cs="Calibri" w:eastAsia="Calibri" w:hAnsi="Calibri"/>
          <w:color w:val="334155"/>
          <w:sz w:val="22"/>
          <w:szCs w:val="22"/>
        </w:rPr>
        <w:t xml:space="preserve">A — Accountable. Owns the outcome and signs off.</w:t>
      </w:r>
    </w:p>
    <w:p>
      <w:pPr>
        <w:pStyle w:val="ListParagraph"/>
        <w:numPr>
          <w:ilvl w:val="0"/>
          <w:numId w:val="2"/>
        </w:numPr>
        <w:spacing w:after="80" w:line="280"/>
      </w:pPr>
      <w:r>
        <w:rPr>
          <w:rFonts w:ascii="Calibri" w:cs="Calibri" w:eastAsia="Calibri" w:hAnsi="Calibri"/>
          <w:color w:val="334155"/>
          <w:sz w:val="22"/>
          <w:szCs w:val="22"/>
        </w:rPr>
        <w:t xml:space="preserve">C — Consulted. Contributes input before the decision.</w:t>
      </w:r>
    </w:p>
    <w:p>
      <w:pPr>
        <w:pStyle w:val="ListParagraph"/>
        <w:numPr>
          <w:ilvl w:val="0"/>
          <w:numId w:val="2"/>
        </w:numPr>
        <w:spacing w:after="80" w:line="280"/>
      </w:pPr>
      <w:r>
        <w:rPr>
          <w:rFonts w:ascii="Calibri" w:cs="Calibri" w:eastAsia="Calibri" w:hAnsi="Calibri"/>
          <w:color w:val="334155"/>
          <w:sz w:val="22"/>
          <w:szCs w:val="22"/>
        </w:rPr>
        <w:t xml:space="preserve">I — Informed. Kept in the loop after the decision.</w:t>
      </w:r>
    </w:p>
    <w:p>
      <w:r>
        <w:br w:type="page"/>
      </w:r>
    </w:p>
    <w:p>
      <w:pPr>
        <w:spacing w:after="60" w:before="120"/>
      </w:pPr>
      <w:r>
        <w:rPr>
          <w:rFonts w:ascii="Calibri" w:cs="Calibri" w:eastAsia="Calibri" w:hAnsi="Calibri"/>
          <w:b/>
          <w:bCs/>
          <w:color w:val="16A34A"/>
          <w:spacing w:val="60"/>
          <w:sz w:val="18"/>
          <w:szCs w:val="18"/>
        </w:rPr>
        <w:t xml:space="preserve">SECTION 08</w:t>
      </w:r>
    </w:p>
    <w:p>
      <w:pPr>
        <w:pStyle w:val="Heading1"/>
        <w:spacing w:after="200" w:before="480"/>
      </w:pPr>
      <w:r>
        <w:rPr>
          <w:rFonts w:ascii="Calibri" w:cs="Calibri" w:eastAsia="Calibri" w:hAnsi="Calibri"/>
          <w:b/>
          <w:bCs/>
          <w:color w:val="0F1B2D"/>
          <w:sz w:val="40"/>
          <w:szCs w:val="40"/>
        </w:rPr>
        <w:t xml:space="preserve">Fees and payment terms</w:t>
      </w:r>
    </w:p>
    <w:p>
      <w:pPr>
        <w:spacing w:after="120" w:line="300"/>
      </w:pPr>
      <w:r>
        <w:rPr>
          <w:rFonts w:ascii="Calibri" w:cs="Calibri" w:eastAsia="Calibri" w:hAnsi="Calibri"/>
          <w:b w:val="false"/>
          <w:bCs w:val="false"/>
          <w:i w:val="false"/>
          <w:iCs w:val="false"/>
          <w:color w:val="334155"/>
          <w:sz w:val="22"/>
          <w:szCs w:val="22"/>
        </w:rPr>
        <w:t xml:space="preserve">Fee structure is negotiated per engagement. Full figures are captured in Appendix A.</w:t>
      </w:r>
    </w:p>
    <w:p>
      <w:pPr>
        <w:spacing w:after="120" w:line="300"/>
      </w:pPr>
      <w:r>
        <w:rPr>
          <w:rFonts w:ascii="Calibri" w:cs="Calibri" w:eastAsia="Calibri" w:hAnsi="Calibri"/>
          <w:b w:val="false"/>
          <w:bCs w:val="false"/>
          <w:i w:val="false"/>
          <w:iCs w:val="false"/>
          <w:color w:val="334155"/>
          <w:sz w:val="22"/>
          <w:szCs w:val="22"/>
        </w:rPr>
        <w:t xml:space="preserve">Fees, billing frequency, and out-of-pocket expense handling for this SOW are stated in Appendix A. Appendix A is to be completed and signed jointly by Connvertex and Client before Connvertex commences work. In the absence of a signed Appendix A, the rates stated in the referenced Master Services Agreement apply.</w:t>
      </w:r>
    </w:p>
    <w:p>
      <w:r>
        <w:br w:type="page"/>
      </w:r>
    </w:p>
    <w:p>
      <w:pPr>
        <w:spacing w:after="60" w:before="120"/>
      </w:pPr>
      <w:r>
        <w:rPr>
          <w:rFonts w:ascii="Calibri" w:cs="Calibri" w:eastAsia="Calibri" w:hAnsi="Calibri"/>
          <w:b/>
          <w:bCs/>
          <w:color w:val="16A34A"/>
          <w:spacing w:val="60"/>
          <w:sz w:val="18"/>
          <w:szCs w:val="18"/>
        </w:rPr>
        <w:t xml:space="preserve">SECTION 09</w:t>
      </w:r>
    </w:p>
    <w:p>
      <w:pPr>
        <w:pStyle w:val="Heading1"/>
        <w:spacing w:after="200" w:before="480"/>
      </w:pPr>
      <w:r>
        <w:rPr>
          <w:rFonts w:ascii="Calibri" w:cs="Calibri" w:eastAsia="Calibri" w:hAnsi="Calibri"/>
          <w:b/>
          <w:bCs/>
          <w:color w:val="0F1B2D"/>
          <w:sz w:val="40"/>
          <w:szCs w:val="40"/>
        </w:rPr>
        <w:t xml:space="preserve">Service levels</w:t>
      </w:r>
    </w:p>
    <w:p>
      <w:pPr>
        <w:spacing w:after="120" w:line="300"/>
      </w:pPr>
      <w:r>
        <w:rPr>
          <w:rFonts w:ascii="Calibri" w:cs="Calibri" w:eastAsia="Calibri" w:hAnsi="Calibri"/>
          <w:b w:val="false"/>
          <w:bCs w:val="false"/>
          <w:i w:val="false"/>
          <w:iCs w:val="false"/>
          <w:color w:val="334155"/>
          <w:sz w:val="22"/>
          <w:szCs w:val="22"/>
        </w:rPr>
        <w:t xml:space="preserve">Response times and escalation paths for the committed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Measure</w:t>
            </w:r>
          </w:p>
        </w:tc>
        <w:tc>
          <w:tcPr>
            <w:tcW w:type="dxa" w:w="616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Target</w:t>
            </w:r>
          </w:p>
        </w:tc>
      </w:tr>
      <w:tr>
        <w:tc>
          <w:tcPr>
            <w:tcW w:type="dxa" w:w="3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Response to routine inbound</w:t>
            </w:r>
          </w:p>
        </w:tc>
        <w:tc>
          <w:tcPr>
            <w:tcW w:type="dxa" w:w="61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One (1) business day during committed hours.</w:t>
            </w:r>
          </w:p>
        </w:tc>
      </w:tr>
      <w:tr>
        <w:tc>
          <w:tcPr>
            <w:tcW w:type="dxa" w:w="3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Response to designated security incidents</w:t>
            </w:r>
          </w:p>
        </w:tc>
        <w:tc>
          <w:tcPr>
            <w:tcW w:type="dxa" w:w="61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Best-effort within four (4) hours during committed hours. For continuous coverage outside committed hours, Client may engage the Connvertex 24x7 Detection &amp; Response bench under a separate SOW.</w:t>
            </w:r>
          </w:p>
        </w:tc>
      </w:tr>
      <w:tr>
        <w:tc>
          <w:tcPr>
            <w:tcW w:type="dxa" w:w="3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Delivery of monthly executive read-out</w:t>
            </w:r>
          </w:p>
        </w:tc>
        <w:tc>
          <w:tcPr>
            <w:tcW w:type="dxa" w:w="61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First business day of the following month, absent a client-agreed exception.</w:t>
            </w:r>
          </w:p>
        </w:tc>
      </w:tr>
      <w:tr>
        <w:tc>
          <w:tcPr>
            <w:tcW w:type="dxa" w:w="32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Delivery of quarterly board brief</w:t>
            </w:r>
          </w:p>
        </w:tc>
        <w:tc>
          <w:tcPr>
            <w:tcW w:type="dxa" w:w="61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No later than fourteen (14) calendar days before the scheduled board meeting.</w:t>
            </w:r>
          </w:p>
        </w:tc>
      </w:tr>
      <w:tr>
        <w:tc>
          <w:tcPr>
            <w:tcW w:type="dxa" w:w="32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Escalation path</w:t>
            </w:r>
          </w:p>
        </w:tc>
        <w:tc>
          <w:tcPr>
            <w:tcW w:type="dxa" w:w="61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Lead vCISO → Connvertex Principal Consultant → Connvertex Managing Partner. Escalation contact details are maintained in the engagement kick-off packet.</w:t>
            </w:r>
          </w:p>
        </w:tc>
      </w:tr>
    </w:tbl>
    <w:p>
      <w:r>
        <w:br w:type="page"/>
      </w:r>
    </w:p>
    <w:p>
      <w:pPr>
        <w:spacing w:after="60" w:before="120"/>
      </w:pPr>
      <w:r>
        <w:rPr>
          <w:rFonts w:ascii="Calibri" w:cs="Calibri" w:eastAsia="Calibri" w:hAnsi="Calibri"/>
          <w:b/>
          <w:bCs/>
          <w:color w:val="16A34A"/>
          <w:spacing w:val="60"/>
          <w:sz w:val="18"/>
          <w:szCs w:val="18"/>
        </w:rPr>
        <w:t xml:space="preserve">SECTION 10</w:t>
      </w:r>
    </w:p>
    <w:p>
      <w:pPr>
        <w:pStyle w:val="Heading1"/>
        <w:spacing w:after="200" w:before="480"/>
      </w:pPr>
      <w:r>
        <w:rPr>
          <w:rFonts w:ascii="Calibri" w:cs="Calibri" w:eastAsia="Calibri" w:hAnsi="Calibri"/>
          <w:b/>
          <w:bCs/>
          <w:color w:val="0F1B2D"/>
          <w:sz w:val="40"/>
          <w:szCs w:val="40"/>
        </w:rPr>
        <w:t xml:space="preserve">Assumptions, dependencies, and exclusions</w:t>
      </w:r>
    </w:p>
    <w:p>
      <w:pPr>
        <w:spacing w:after="120" w:line="300"/>
      </w:pPr>
      <w:r>
        <w:rPr>
          <w:rFonts w:ascii="Calibri" w:cs="Calibri" w:eastAsia="Calibri" w:hAnsi="Calibri"/>
          <w:b w:val="false"/>
          <w:bCs w:val="false"/>
          <w:i w:val="false"/>
          <w:iCs w:val="false"/>
          <w:color w:val="334155"/>
          <w:sz w:val="22"/>
          <w:szCs w:val="22"/>
        </w:rPr>
        <w:t xml:space="preserve">What Connvertex relies on Client to provide. What is expressly not part of the engagement.</w:t>
      </w:r>
    </w:p>
    <w:p>
      <w:pPr>
        <w:pStyle w:val="Heading3"/>
        <w:spacing w:after="80" w:before="240"/>
      </w:pPr>
      <w:r>
        <w:rPr>
          <w:rFonts w:ascii="Calibri" w:cs="Calibri" w:eastAsia="Calibri" w:hAnsi="Calibri"/>
          <w:b/>
          <w:bCs/>
          <w:color w:val="0F1B2D"/>
          <w:sz w:val="24"/>
          <w:szCs w:val="24"/>
        </w:rPr>
        <w:t xml:space="preserve">Assumptions</w:t>
      </w:r>
    </w:p>
    <w:p>
      <w:pPr>
        <w:pStyle w:val="ListParagraph"/>
        <w:numPr>
          <w:ilvl w:val="0"/>
          <w:numId w:val="2"/>
        </w:numPr>
        <w:spacing w:after="80" w:line="280"/>
      </w:pPr>
      <w:r>
        <w:rPr>
          <w:rFonts w:ascii="Calibri" w:cs="Calibri" w:eastAsia="Calibri" w:hAnsi="Calibri"/>
          <w:color w:val="334155"/>
          <w:sz w:val="22"/>
          <w:szCs w:val="22"/>
        </w:rPr>
        <w:t xml:space="preserve">Client will provide the vCISO and supporting Connvertex practitioners timely access to systems, documentation, and personnel reasonably necessary to perform the services, including SSO access to the engagement evidence repository.</w:t>
      </w:r>
    </w:p>
    <w:p>
      <w:pPr>
        <w:pStyle w:val="ListParagraph"/>
        <w:numPr>
          <w:ilvl w:val="0"/>
          <w:numId w:val="2"/>
        </w:numPr>
        <w:spacing w:after="80" w:line="280"/>
      </w:pPr>
      <w:r>
        <w:rPr>
          <w:rFonts w:ascii="Calibri" w:cs="Calibri" w:eastAsia="Calibri" w:hAnsi="Calibri"/>
          <w:color w:val="334155"/>
          <w:sz w:val="22"/>
          <w:szCs w:val="22"/>
        </w:rPr>
        <w:t xml:space="preserve">Client will designate a full-time operational point of contact and an executive sponsor with authority to make program decisions.</w:t>
      </w:r>
    </w:p>
    <w:p>
      <w:pPr>
        <w:pStyle w:val="ListParagraph"/>
        <w:numPr>
          <w:ilvl w:val="0"/>
          <w:numId w:val="2"/>
        </w:numPr>
        <w:spacing w:after="80" w:line="280"/>
      </w:pPr>
      <w:r>
        <w:rPr>
          <w:rFonts w:ascii="Calibri" w:cs="Calibri" w:eastAsia="Calibri" w:hAnsi="Calibri"/>
          <w:color w:val="334155"/>
          <w:sz w:val="22"/>
          <w:szCs w:val="22"/>
        </w:rPr>
        <w:t xml:space="preserve">Client will retain counsel, privacy, and HR functions. The vCISO will coordinate with, but does not replace, those functions.</w:t>
      </w:r>
    </w:p>
    <w:p>
      <w:pPr>
        <w:pStyle w:val="ListParagraph"/>
        <w:numPr>
          <w:ilvl w:val="0"/>
          <w:numId w:val="2"/>
        </w:numPr>
        <w:spacing w:after="80" w:line="280"/>
      </w:pPr>
      <w:r>
        <w:rPr>
          <w:rFonts w:ascii="Calibri" w:cs="Calibri" w:eastAsia="Calibri" w:hAnsi="Calibri"/>
          <w:color w:val="334155"/>
          <w:sz w:val="22"/>
          <w:szCs w:val="22"/>
        </w:rPr>
        <w:t xml:space="preserve">The committed twenty (20) hours per week is an average over each calendar month and may be redistributed across weeks to accommodate the engagement cadence.</w:t>
      </w:r>
    </w:p>
    <w:p>
      <w:pPr>
        <w:pStyle w:val="ListParagraph"/>
        <w:numPr>
          <w:ilvl w:val="0"/>
          <w:numId w:val="2"/>
        </w:numPr>
        <w:spacing w:after="80" w:line="280"/>
      </w:pPr>
      <w:r>
        <w:rPr>
          <w:rFonts w:ascii="Calibri" w:cs="Calibri" w:eastAsia="Calibri" w:hAnsi="Calibri"/>
          <w:color w:val="334155"/>
          <w:sz w:val="22"/>
          <w:szCs w:val="22"/>
        </w:rPr>
        <w:t xml:space="preserve">Client will not rely on the vCISO or the Connvertex delivery bench for personal opinions on legal, regulatory, or tax matters.</w:t>
      </w:r>
    </w:p>
    <w:p>
      <w:pPr>
        <w:pStyle w:val="Heading3"/>
        <w:spacing w:after="80" w:before="240"/>
      </w:pPr>
      <w:r>
        <w:rPr>
          <w:rFonts w:ascii="Calibri" w:cs="Calibri" w:eastAsia="Calibri" w:hAnsi="Calibri"/>
          <w:b/>
          <w:bCs/>
          <w:color w:val="0F1B2D"/>
          <w:sz w:val="24"/>
          <w:szCs w:val="24"/>
        </w:rPr>
        <w:t xml:space="preserve">Dependencies</w:t>
      </w:r>
    </w:p>
    <w:p>
      <w:pPr>
        <w:pStyle w:val="ListParagraph"/>
        <w:numPr>
          <w:ilvl w:val="0"/>
          <w:numId w:val="2"/>
        </w:numPr>
        <w:spacing w:after="80" w:line="280"/>
      </w:pPr>
      <w:r>
        <w:rPr>
          <w:rFonts w:ascii="Calibri" w:cs="Calibri" w:eastAsia="Calibri" w:hAnsi="Calibri"/>
          <w:color w:val="334155"/>
          <w:sz w:val="22"/>
          <w:szCs w:val="22"/>
        </w:rPr>
        <w:t xml:space="preserve">SSO access to the engagement evidence repository provisioned within five (5) business days of the start date.</w:t>
      </w:r>
    </w:p>
    <w:p>
      <w:pPr>
        <w:pStyle w:val="ListParagraph"/>
        <w:numPr>
          <w:ilvl w:val="0"/>
          <w:numId w:val="2"/>
        </w:numPr>
        <w:spacing w:after="80" w:line="280"/>
      </w:pPr>
      <w:r>
        <w:rPr>
          <w:rFonts w:ascii="Calibri" w:cs="Calibri" w:eastAsia="Calibri" w:hAnsi="Calibri"/>
          <w:color w:val="334155"/>
          <w:sz w:val="22"/>
          <w:szCs w:val="22"/>
        </w:rPr>
        <w:t xml:space="preserve">Identity provider administrative access granted to the vCISO within ten (10) business days of start.</w:t>
      </w:r>
    </w:p>
    <w:p>
      <w:pPr>
        <w:pStyle w:val="ListParagraph"/>
        <w:numPr>
          <w:ilvl w:val="0"/>
          <w:numId w:val="2"/>
        </w:numPr>
        <w:spacing w:after="80" w:line="280"/>
      </w:pPr>
      <w:r>
        <w:rPr>
          <w:rFonts w:ascii="Calibri" w:cs="Calibri" w:eastAsia="Calibri" w:hAnsi="Calibri"/>
          <w:color w:val="334155"/>
          <w:sz w:val="22"/>
          <w:szCs w:val="22"/>
        </w:rPr>
        <w:t xml:space="preserve">Executive sponsor availability for the monthly security review and quarterly board brief preparation sessions.</w:t>
      </w:r>
    </w:p>
    <w:p>
      <w:pPr>
        <w:pStyle w:val="ListParagraph"/>
        <w:numPr>
          <w:ilvl w:val="0"/>
          <w:numId w:val="2"/>
        </w:numPr>
        <w:spacing w:after="80" w:line="280"/>
      </w:pPr>
      <w:r>
        <w:rPr>
          <w:rFonts w:ascii="Calibri" w:cs="Calibri" w:eastAsia="Calibri" w:hAnsi="Calibri"/>
          <w:color w:val="334155"/>
          <w:sz w:val="22"/>
          <w:szCs w:val="22"/>
        </w:rPr>
        <w:t xml:space="preserve">Client engineering leadership committed to the weekly standing review.</w:t>
      </w:r>
    </w:p>
    <w:p>
      <w:pPr>
        <w:pStyle w:val="Heading3"/>
        <w:spacing w:after="80" w:before="240"/>
      </w:pPr>
      <w:r>
        <w:rPr>
          <w:rFonts w:ascii="Calibri" w:cs="Calibri" w:eastAsia="Calibri" w:hAnsi="Calibri"/>
          <w:b/>
          <w:bCs/>
          <w:color w:val="0F1B2D"/>
          <w:sz w:val="24"/>
          <w:szCs w:val="24"/>
        </w:rPr>
        <w:t xml:space="preserve">Exclusions</w:t>
      </w:r>
    </w:p>
    <w:p>
      <w:pPr>
        <w:spacing w:after="120" w:line="300"/>
      </w:pPr>
      <w:r>
        <w:rPr>
          <w:rFonts w:ascii="Calibri" w:cs="Calibri" w:eastAsia="Calibri" w:hAnsi="Calibri"/>
          <w:b w:val="false"/>
          <w:bCs w:val="false"/>
          <w:i w:val="false"/>
          <w:iCs w:val="false"/>
          <w:color w:val="334155"/>
          <w:sz w:val="22"/>
          <w:szCs w:val="22"/>
        </w:rPr>
        <w:t xml:space="preserve">See Section 4 for the complete list of services that are out of scope. Exclusions in this section are dependencies Client must satisfy or explicit carve-outs referenced elsewhere in this SOW.</w:t>
      </w:r>
    </w:p>
    <w:p>
      <w:r>
        <w:br w:type="page"/>
      </w:r>
    </w:p>
    <w:p>
      <w:pPr>
        <w:spacing w:after="60" w:before="120"/>
      </w:pPr>
      <w:r>
        <w:rPr>
          <w:rFonts w:ascii="Calibri" w:cs="Calibri" w:eastAsia="Calibri" w:hAnsi="Calibri"/>
          <w:b/>
          <w:bCs/>
          <w:color w:val="16A34A"/>
          <w:spacing w:val="60"/>
          <w:sz w:val="18"/>
          <w:szCs w:val="18"/>
        </w:rPr>
        <w:t xml:space="preserve">SECTION 11</w:t>
      </w:r>
    </w:p>
    <w:p>
      <w:pPr>
        <w:pStyle w:val="Heading1"/>
        <w:spacing w:after="200" w:before="480"/>
      </w:pPr>
      <w:r>
        <w:rPr>
          <w:rFonts w:ascii="Calibri" w:cs="Calibri" w:eastAsia="Calibri" w:hAnsi="Calibri"/>
          <w:b/>
          <w:bCs/>
          <w:color w:val="0F1B2D"/>
          <w:sz w:val="40"/>
          <w:szCs w:val="40"/>
        </w:rPr>
        <w:t xml:space="preserve">Change management</w:t>
      </w:r>
    </w:p>
    <w:p>
      <w:pPr>
        <w:spacing w:after="120" w:line="300"/>
      </w:pPr>
      <w:r>
        <w:rPr>
          <w:rFonts w:ascii="Calibri" w:cs="Calibri" w:eastAsia="Calibri" w:hAnsi="Calibri"/>
          <w:b w:val="false"/>
          <w:bCs w:val="false"/>
          <w:i w:val="false"/>
          <w:iCs w:val="false"/>
          <w:color w:val="334155"/>
          <w:sz w:val="22"/>
          <w:szCs w:val="22"/>
        </w:rPr>
        <w:t xml:space="preserve">How the parties add, remove, or reshape work after signature.</w:t>
      </w:r>
    </w:p>
    <w:p>
      <w:pPr>
        <w:spacing w:after="120" w:line="300"/>
      </w:pPr>
      <w:r>
        <w:rPr>
          <w:rFonts w:ascii="Calibri" w:cs="Calibri" w:eastAsia="Calibri" w:hAnsi="Calibri"/>
          <w:b w:val="false"/>
          <w:bCs w:val="false"/>
          <w:i w:val="false"/>
          <w:iCs w:val="false"/>
          <w:color w:val="334155"/>
          <w:sz w:val="22"/>
          <w:szCs w:val="22"/>
        </w:rPr>
        <w:t xml:space="preserve">Changes to scope, deliverables, timeline, or fees will be documented on a written Change Order signed by authorized representatives of both parties. No change is effective until the Change Order is countersigned. Work begun under a verbally agreed change without a signed Change Order is performed at Connvertex's cost.</w:t>
      </w:r>
    </w:p>
    <w:p>
      <w:r>
        <w:br w:type="page"/>
      </w:r>
    </w:p>
    <w:p>
      <w:pPr>
        <w:spacing w:after="60" w:before="120"/>
      </w:pPr>
      <w:r>
        <w:rPr>
          <w:rFonts w:ascii="Calibri" w:cs="Calibri" w:eastAsia="Calibri" w:hAnsi="Calibri"/>
          <w:b/>
          <w:bCs/>
          <w:color w:val="16A34A"/>
          <w:spacing w:val="60"/>
          <w:sz w:val="18"/>
          <w:szCs w:val="18"/>
        </w:rPr>
        <w:t xml:space="preserve">SECTION 12</w:t>
      </w:r>
    </w:p>
    <w:p>
      <w:pPr>
        <w:pStyle w:val="Heading1"/>
        <w:spacing w:after="200" w:before="480"/>
      </w:pPr>
      <w:r>
        <w:rPr>
          <w:rFonts w:ascii="Calibri" w:cs="Calibri" w:eastAsia="Calibri" w:hAnsi="Calibri"/>
          <w:b/>
          <w:bCs/>
          <w:color w:val="0F1B2D"/>
          <w:sz w:val="40"/>
          <w:szCs w:val="40"/>
        </w:rPr>
        <w:t xml:space="preserve">Confidentiality and intellectual property</w:t>
      </w:r>
    </w:p>
    <w:p>
      <w:pPr>
        <w:spacing w:after="120" w:line="300"/>
      </w:pPr>
      <w:r>
        <w:rPr>
          <w:rFonts w:ascii="Calibri" w:cs="Calibri" w:eastAsia="Calibri" w:hAnsi="Calibri"/>
          <w:b w:val="false"/>
          <w:bCs w:val="false"/>
          <w:i w:val="false"/>
          <w:iCs w:val="false"/>
          <w:color w:val="334155"/>
          <w:sz w:val="22"/>
          <w:szCs w:val="22"/>
        </w:rPr>
        <w:t xml:space="preserve">Ownership of work product and treatment of confidential material.</w:t>
      </w:r>
    </w:p>
    <w:p>
      <w:pPr>
        <w:pStyle w:val="Heading3"/>
        <w:spacing w:after="80" w:before="240"/>
      </w:pPr>
      <w:r>
        <w:rPr>
          <w:rFonts w:ascii="Calibri" w:cs="Calibri" w:eastAsia="Calibri" w:hAnsi="Calibri"/>
          <w:b/>
          <w:bCs/>
          <w:color w:val="0F1B2D"/>
          <w:sz w:val="24"/>
          <w:szCs w:val="24"/>
        </w:rPr>
        <w:t xml:space="preserve">Confidentiality</w:t>
      </w:r>
    </w:p>
    <w:p>
      <w:pPr>
        <w:spacing w:after="120" w:line="300"/>
      </w:pPr>
      <w:r>
        <w:rPr>
          <w:rFonts w:ascii="Calibri" w:cs="Calibri" w:eastAsia="Calibri" w:hAnsi="Calibri"/>
          <w:b w:val="false"/>
          <w:bCs w:val="false"/>
          <w:i w:val="false"/>
          <w:iCs w:val="false"/>
          <w:color w:val="334155"/>
          <w:sz w:val="22"/>
          <w:szCs w:val="22"/>
        </w:rPr>
        <w:t xml:space="preserve">Both parties' obligations with respect to confidential information are governed by the Master Services Agreement referenced on the cover page. Each party shall treat the other's confidential information with the same care as its own, and not less than reasonable care.</w:t>
      </w:r>
    </w:p>
    <w:p>
      <w:pPr>
        <w:pStyle w:val="Heading3"/>
        <w:spacing w:after="80" w:before="240"/>
      </w:pPr>
      <w:r>
        <w:rPr>
          <w:rFonts w:ascii="Calibri" w:cs="Calibri" w:eastAsia="Calibri" w:hAnsi="Calibri"/>
          <w:b/>
          <w:bCs/>
          <w:color w:val="0F1B2D"/>
          <w:sz w:val="24"/>
          <w:szCs w:val="24"/>
        </w:rPr>
        <w:t xml:space="preserve">Work product ownership</w:t>
      </w:r>
    </w:p>
    <w:p>
      <w:pPr>
        <w:spacing w:after="120" w:line="300"/>
      </w:pPr>
      <w:r>
        <w:rPr>
          <w:rFonts w:ascii="Calibri" w:cs="Calibri" w:eastAsia="Calibri" w:hAnsi="Calibri"/>
          <w:b w:val="false"/>
          <w:bCs w:val="false"/>
          <w:i w:val="false"/>
          <w:iCs w:val="false"/>
          <w:color w:val="334155"/>
          <w:sz w:val="22"/>
          <w:szCs w:val="22"/>
        </w:rPr>
        <w:t xml:space="preserve">All deliverables produced specifically for Client under this SOW are the property of Client upon payment in full. Connvertex retains ownership of its pre-existing intellectual property, methodologies, frameworks, and tooling, and grants Client a perpetual, non-exclusive, royalty-free license to use the same as embedded in the deliverables.</w:t>
      </w:r>
    </w:p>
    <w:p>
      <w:pPr>
        <w:pStyle w:val="Heading3"/>
        <w:spacing w:after="80" w:before="240"/>
      </w:pPr>
      <w:r>
        <w:rPr>
          <w:rFonts w:ascii="Calibri" w:cs="Calibri" w:eastAsia="Calibri" w:hAnsi="Calibri"/>
          <w:b/>
          <w:bCs/>
          <w:color w:val="0F1B2D"/>
          <w:sz w:val="24"/>
          <w:szCs w:val="24"/>
        </w:rPr>
        <w:t xml:space="preserve">Reference and attribution</w:t>
      </w:r>
    </w:p>
    <w:p>
      <w:pPr>
        <w:spacing w:after="120" w:line="300"/>
      </w:pPr>
      <w:r>
        <w:rPr>
          <w:rFonts w:ascii="Calibri" w:cs="Calibri" w:eastAsia="Calibri" w:hAnsi="Calibri"/>
          <w:b w:val="false"/>
          <w:bCs w:val="false"/>
          <w:i w:val="false"/>
          <w:iCs w:val="false"/>
          <w:color w:val="334155"/>
          <w:sz w:val="22"/>
          <w:szCs w:val="22"/>
        </w:rPr>
        <w:t xml:space="preserve">Connvertex may reference Client as a customer in its marketing materials with Client's prior written consent, which Client will not unreasonably withhold. Case studies require a separate, mutually-agreed statement of content.</w:t>
      </w:r>
    </w:p>
    <w:p>
      <w:r>
        <w:br w:type="page"/>
      </w:r>
    </w:p>
    <w:p>
      <w:pPr>
        <w:spacing w:after="60" w:before="120"/>
      </w:pPr>
      <w:r>
        <w:rPr>
          <w:rFonts w:ascii="Calibri" w:cs="Calibri" w:eastAsia="Calibri" w:hAnsi="Calibri"/>
          <w:b/>
          <w:bCs/>
          <w:color w:val="16A34A"/>
          <w:spacing w:val="60"/>
          <w:sz w:val="18"/>
          <w:szCs w:val="18"/>
        </w:rPr>
        <w:t xml:space="preserve">SECTION 13</w:t>
      </w:r>
    </w:p>
    <w:p>
      <w:pPr>
        <w:pStyle w:val="Heading1"/>
        <w:spacing w:after="200" w:before="480"/>
      </w:pPr>
      <w:r>
        <w:rPr>
          <w:rFonts w:ascii="Calibri" w:cs="Calibri" w:eastAsia="Calibri" w:hAnsi="Calibri"/>
          <w:b/>
          <w:bCs/>
          <w:color w:val="0F1B2D"/>
          <w:sz w:val="40"/>
          <w:szCs w:val="40"/>
        </w:rPr>
        <w:t xml:space="preserve">Term and termination</w:t>
      </w:r>
    </w:p>
    <w:p>
      <w:pPr>
        <w:spacing w:after="120" w:line="300"/>
      </w:pPr>
      <w:r>
        <w:rPr>
          <w:rFonts w:ascii="Calibri" w:cs="Calibri" w:eastAsia="Calibri" w:hAnsi="Calibri"/>
          <w:b w:val="false"/>
          <w:bCs w:val="false"/>
          <w:i w:val="false"/>
          <w:iCs w:val="false"/>
          <w:color w:val="334155"/>
          <w:sz w:val="22"/>
          <w:szCs w:val="22"/>
        </w:rPr>
        <w:t xml:space="preserve">Effective and termination provisions for this SOW.</w:t>
      </w:r>
    </w:p>
    <w:p>
      <w:pPr>
        <w:spacing w:after="120" w:line="300"/>
      </w:pPr>
      <w:r>
        <w:rPr>
          <w:rFonts w:ascii="Calibri" w:cs="Calibri" w:eastAsia="Calibri" w:hAnsi="Calibri"/>
          <w:b w:val="false"/>
          <w:bCs w:val="false"/>
          <w:i w:val="false"/>
          <w:iCs w:val="false"/>
          <w:color w:val="334155"/>
          <w:sz w:val="22"/>
          <w:szCs w:val="22"/>
        </w:rPr>
        <w:t xml:space="preserve">This SOW becomes effective on the Effective Date and continues for the Initial Term stated on the cover, unless earlier terminated in accordance with the Master Services Agreement. Either party may terminate this SOW without cause upon thirty (30) days prior written notice. Fees accrued through the termination date remain payable in full; pre-paid fees for services not yet performed are refunded within thirty (30) days.</w:t>
      </w:r>
    </w:p>
    <w:p>
      <w:r>
        <w:br w:type="page"/>
      </w:r>
    </w:p>
    <w:p>
      <w:pPr>
        <w:spacing w:after="60" w:before="120"/>
      </w:pPr>
      <w:r>
        <w:rPr>
          <w:rFonts w:ascii="Calibri" w:cs="Calibri" w:eastAsia="Calibri" w:hAnsi="Calibri"/>
          <w:b/>
          <w:bCs/>
          <w:color w:val="16A34A"/>
          <w:spacing w:val="60"/>
          <w:sz w:val="18"/>
          <w:szCs w:val="18"/>
        </w:rPr>
        <w:t xml:space="preserve">SECTION 14</w:t>
      </w:r>
    </w:p>
    <w:p>
      <w:pPr>
        <w:pStyle w:val="Heading1"/>
        <w:spacing w:after="200" w:before="480"/>
      </w:pPr>
      <w:r>
        <w:rPr>
          <w:rFonts w:ascii="Calibri" w:cs="Calibri" w:eastAsia="Calibri" w:hAnsi="Calibri"/>
          <w:b/>
          <w:bCs/>
          <w:color w:val="0F1B2D"/>
          <w:sz w:val="40"/>
          <w:szCs w:val="40"/>
        </w:rPr>
        <w:t xml:space="preserve">Warranties and limitations</w:t>
      </w:r>
    </w:p>
    <w:p>
      <w:pPr>
        <w:spacing w:after="120" w:line="300"/>
      </w:pPr>
      <w:r>
        <w:rPr>
          <w:rFonts w:ascii="Calibri" w:cs="Calibri" w:eastAsia="Calibri" w:hAnsi="Calibri"/>
          <w:b w:val="false"/>
          <w:bCs w:val="false"/>
          <w:i w:val="false"/>
          <w:iCs w:val="false"/>
          <w:color w:val="334155"/>
          <w:sz w:val="22"/>
          <w:szCs w:val="22"/>
        </w:rPr>
        <w:t xml:space="preserve">Standard professional-services warranty language.</w:t>
      </w:r>
    </w:p>
    <w:p>
      <w:pPr>
        <w:pStyle w:val="Heading3"/>
        <w:spacing w:after="80" w:before="240"/>
      </w:pPr>
      <w:r>
        <w:rPr>
          <w:rFonts w:ascii="Calibri" w:cs="Calibri" w:eastAsia="Calibri" w:hAnsi="Calibri"/>
          <w:b/>
          <w:bCs/>
          <w:color w:val="0F1B2D"/>
          <w:sz w:val="24"/>
          <w:szCs w:val="24"/>
        </w:rPr>
        <w:t xml:space="preserve">Professional standard</w:t>
      </w:r>
    </w:p>
    <w:p>
      <w:pPr>
        <w:spacing w:after="120" w:line="300"/>
      </w:pPr>
      <w:r>
        <w:rPr>
          <w:rFonts w:ascii="Calibri" w:cs="Calibri" w:eastAsia="Calibri" w:hAnsi="Calibri"/>
          <w:b w:val="false"/>
          <w:bCs w:val="false"/>
          <w:i w:val="false"/>
          <w:iCs w:val="false"/>
          <w:color w:val="334155"/>
          <w:sz w:val="22"/>
          <w:szCs w:val="22"/>
        </w:rPr>
        <w:t xml:space="preserve">Connvertex warrants that services will be performed in a workmanlike manner consistent with prevailing industry standards by qualified personnel. Client's sole remedy for breach of this warranty is Connvertex's re-performance of the non-conforming services at no additional charge.</w:t>
      </w:r>
    </w:p>
    <w:p>
      <w:pPr>
        <w:pStyle w:val="Heading3"/>
        <w:spacing w:after="80" w:before="240"/>
      </w:pPr>
      <w:r>
        <w:rPr>
          <w:rFonts w:ascii="Calibri" w:cs="Calibri" w:eastAsia="Calibri" w:hAnsi="Calibri"/>
          <w:b/>
          <w:bCs/>
          <w:color w:val="0F1B2D"/>
          <w:sz w:val="24"/>
          <w:szCs w:val="24"/>
        </w:rPr>
        <w:t xml:space="preserve">Compliance outcomes</w:t>
      </w:r>
    </w:p>
    <w:p>
      <w:pPr>
        <w:spacing w:after="120" w:line="300"/>
      </w:pPr>
      <w:r>
        <w:rPr>
          <w:rFonts w:ascii="Calibri" w:cs="Calibri" w:eastAsia="Calibri" w:hAnsi="Calibri"/>
          <w:b w:val="false"/>
          <w:bCs w:val="false"/>
          <w:i w:val="false"/>
          <w:iCs w:val="false"/>
          <w:color w:val="334155"/>
          <w:sz w:val="22"/>
          <w:szCs w:val="22"/>
        </w:rPr>
        <w:t xml:space="preserve">Connvertex does not warrant, guarantee, or represent that any particular third-party assessment outcome (including a SOC 2 unqualified opinion or a HIPAA audit without findings) will result from the services. Third-party assessment outcomes depend on factors outside Connvertex's control, including Client operational execution and the judgment of the assessor.</w:t>
      </w:r>
    </w:p>
    <w:p>
      <w:pPr>
        <w:pStyle w:val="Heading3"/>
        <w:spacing w:after="80" w:before="240"/>
      </w:pPr>
      <w:r>
        <w:rPr>
          <w:rFonts w:ascii="Calibri" w:cs="Calibri" w:eastAsia="Calibri" w:hAnsi="Calibri"/>
          <w:b/>
          <w:bCs/>
          <w:color w:val="0F1B2D"/>
          <w:sz w:val="24"/>
          <w:szCs w:val="24"/>
        </w:rPr>
        <w:t xml:space="preserve">Limitation of liability</w:t>
      </w:r>
    </w:p>
    <w:p>
      <w:pPr>
        <w:spacing w:after="120" w:line="300"/>
      </w:pPr>
      <w:r>
        <w:rPr>
          <w:rFonts w:ascii="Calibri" w:cs="Calibri" w:eastAsia="Calibri" w:hAnsi="Calibri"/>
          <w:b w:val="false"/>
          <w:bCs w:val="false"/>
          <w:i w:val="false"/>
          <w:iCs w:val="false"/>
          <w:color w:val="334155"/>
          <w:sz w:val="22"/>
          <w:szCs w:val="22"/>
        </w:rPr>
        <w:t xml:space="preserve">Both parties' total liability with respect to this SOW is governed by the limitation-of-liability provisions of the Master Services Agreement. Neither party is liable for indirect, incidental, or consequential damages.</w:t>
      </w:r>
    </w:p>
    <w:p>
      <w:r>
        <w:br w:type="page"/>
      </w:r>
    </w:p>
    <w:p>
      <w:pPr>
        <w:spacing w:after="60" w:before="120"/>
      </w:pPr>
      <w:r>
        <w:rPr>
          <w:rFonts w:ascii="Calibri" w:cs="Calibri" w:eastAsia="Calibri" w:hAnsi="Calibri"/>
          <w:b/>
          <w:bCs/>
          <w:color w:val="16A34A"/>
          <w:spacing w:val="60"/>
          <w:sz w:val="18"/>
          <w:szCs w:val="18"/>
        </w:rPr>
        <w:t xml:space="preserve">SECTION 15</w:t>
      </w:r>
    </w:p>
    <w:p>
      <w:pPr>
        <w:pStyle w:val="Heading1"/>
        <w:spacing w:after="200" w:before="480"/>
      </w:pPr>
      <w:r>
        <w:rPr>
          <w:rFonts w:ascii="Calibri" w:cs="Calibri" w:eastAsia="Calibri" w:hAnsi="Calibri"/>
          <w:b/>
          <w:bCs/>
          <w:color w:val="0F1B2D"/>
          <w:sz w:val="40"/>
          <w:szCs w:val="40"/>
        </w:rPr>
        <w:t xml:space="preserve">Signatures</w:t>
      </w:r>
    </w:p>
    <w:p>
      <w:pPr>
        <w:spacing w:after="120" w:line="300"/>
      </w:pPr>
      <w:r>
        <w:rPr>
          <w:rFonts w:ascii="Calibri" w:cs="Calibri" w:eastAsia="Calibri" w:hAnsi="Calibri"/>
          <w:b w:val="false"/>
          <w:bCs w:val="false"/>
          <w:i w:val="false"/>
          <w:iCs w:val="false"/>
          <w:color w:val="334155"/>
          <w:sz w:val="22"/>
          <w:szCs w:val="22"/>
        </w:rPr>
        <w:t xml:space="preserve">Authorized signatories. Both signatures are required to make this SOW effective.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r>
              <w:rPr>
                <w:rFonts w:ascii="Calibri" w:cs="Calibri" w:eastAsia="Calibri" w:hAnsi="Calibri"/>
                <w:b/>
                <w:bCs/>
                <w:color w:val="0F1B2D"/>
                <w:sz w:val="24"/>
                <w:szCs w:val="24"/>
              </w:rPr>
              <w:t xml:space="preserve">Connvertex LLC</w:t>
            </w:r>
          </w:p>
          <w:p>
            <w:pPr>
              <w:spacing w:before="6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Signature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Printed name   [CONNVERTEX SIGNATORY NAME, TITLE]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Title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Date</w:t>
            </w:r>
          </w:p>
        </w:tc>
        <w:tc>
          <w:tcPr>
            <w:tcW w:type="dxa" w:w="468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r>
              <w:rPr>
                <w:rFonts w:ascii="Calibri" w:cs="Calibri" w:eastAsia="Calibri" w:hAnsi="Calibri"/>
                <w:b/>
                <w:bCs/>
                <w:color w:val="0F1B2D"/>
                <w:sz w:val="24"/>
                <w:szCs w:val="24"/>
              </w:rPr>
              <w:t xml:space="preserve">[CLIENT LEGAL NAME]</w:t>
            </w:r>
          </w:p>
          <w:p>
            <w:pPr>
              <w:spacing w:before="6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Signature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Printed name   [CLIENT SIGNATORY NAME, TITLE]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Title</w:t>
            </w:r>
          </w:p>
          <w:p>
            <w:pPr>
              <w:spacing w:before="400"/>
            </w:pPr>
            <w:r>
              <w:rPr>
                <w:rFonts w:ascii="Calibri" w:cs="Calibri" w:eastAsia="Calibri" w:hAnsi="Calibri"/>
                <w:color w:val="334155"/>
                <w:sz w:val="22"/>
                <w:szCs w:val="22"/>
              </w:rPr>
              <w:t xml:space="preserve">____________________________________</w:t>
            </w:r>
          </w:p>
          <w:p>
            <w:r>
              <w:rPr>
                <w:rFonts w:ascii="Calibri" w:cs="Calibri" w:eastAsia="Calibri" w:hAnsi="Calibri"/>
                <w:color w:val="64748B"/>
                <w:sz w:val="18"/>
                <w:szCs w:val="18"/>
              </w:rPr>
              <w:t xml:space="preserve">Date</w:t>
            </w:r>
          </w:p>
        </w:tc>
      </w:tr>
    </w:tbl>
    <w:p>
      <w:r>
        <w:br w:type="page"/>
      </w:r>
    </w:p>
    <w:p>
      <w:pPr>
        <w:spacing w:after="60" w:before="120"/>
      </w:pPr>
      <w:r>
        <w:rPr>
          <w:rFonts w:ascii="Calibri" w:cs="Calibri" w:eastAsia="Calibri" w:hAnsi="Calibri"/>
          <w:b/>
          <w:bCs/>
          <w:color w:val="16A34A"/>
          <w:spacing w:val="60"/>
          <w:sz w:val="18"/>
          <w:szCs w:val="18"/>
        </w:rPr>
        <w:t xml:space="preserve">APPENDIX A</w:t>
      </w:r>
    </w:p>
    <w:p>
      <w:pPr>
        <w:pStyle w:val="Heading1"/>
        <w:spacing w:after="200" w:before="480"/>
      </w:pPr>
      <w:r>
        <w:rPr>
          <w:rFonts w:ascii="Calibri" w:cs="Calibri" w:eastAsia="Calibri" w:hAnsi="Calibri"/>
          <w:b/>
          <w:bCs/>
          <w:color w:val="0F1B2D"/>
          <w:sz w:val="40"/>
          <w:szCs w:val="40"/>
        </w:rPr>
        <w:t xml:space="preserve">Appendix A — Fees, payment terms, and rate card</w:t>
      </w:r>
    </w:p>
    <w:p>
      <w:pPr>
        <w:spacing w:after="120" w:line="300"/>
      </w:pPr>
      <w:r>
        <w:rPr>
          <w:rFonts w:ascii="Calibri" w:cs="Calibri" w:eastAsia="Calibri" w:hAnsi="Calibri"/>
          <w:b w:val="false"/>
          <w:bCs w:val="false"/>
          <w:i w:val="false"/>
          <w:iCs w:val="false"/>
          <w:color w:val="334155"/>
          <w:sz w:val="22"/>
          <w:szCs w:val="22"/>
        </w:rPr>
        <w:t xml:space="preserve">Fee structure, out-of-pocket expense handling, and rate-card references. Complete jointly before the Effective Date.</w:t>
      </w:r>
    </w:p>
    <w:p>
      <w:pPr>
        <w:spacing w:after="120" w:line="300"/>
      </w:pPr>
      <w:r>
        <w:rPr>
          <w:rFonts w:ascii="Calibri" w:cs="Calibri" w:eastAsia="Calibri" w:hAnsi="Calibri"/>
          <w:b w:val="false"/>
          <w:bCs w:val="false"/>
          <w:i w:val="false"/>
          <w:iCs w:val="false"/>
          <w:color w:val="334155"/>
          <w:sz w:val="22"/>
          <w:szCs w:val="22"/>
        </w:rPr>
        <w:t xml:space="preserve">This appendix is completed jointly by Connvertex and Client prior to the Effective Date. The placeholders below indicate the standard structure; specific figures are negotiated and inserted before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rPr>
          <w:tblHeader/>
        </w:trPr>
        <w:tc>
          <w:tcPr>
            <w:tcW w:type="dxa" w:w="340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Item</w:t>
            </w:r>
          </w:p>
        </w:tc>
        <w:tc>
          <w:tcPr>
            <w:tcW w:type="dxa" w:w="5960"/>
            <w:tcBorders>
              <w:top w:val="single" w:color="E2E8F0" w:sz="4"/>
              <w:left w:val="single" w:color="E2E8F0" w:sz="4"/>
              <w:bottom w:val="single" w:color="E2E8F0" w:sz="4"/>
              <w:right w:val="single" w:color="E2E8F0" w:sz="4"/>
            </w:tcBorders>
            <w:shd w:fill="0F1B2D"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Terms</w:t>
            </w:r>
          </w:p>
        </w:tc>
      </w:tr>
      <w:tr>
        <w:tc>
          <w:tcPr>
            <w:tcW w:type="dxa" w:w="3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Monthly retainer for the Standard tier (20 hrs/week)</w:t>
            </w:r>
          </w:p>
        </w:tc>
        <w:tc>
          <w:tcPr>
            <w:tcW w:type="dxa" w:w="59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$[AMOUNT] per calendar month, invoiced on the first business day of each month, net thirty (30).</w:t>
            </w:r>
          </w:p>
        </w:tc>
      </w:tr>
      <w:tr>
        <w:tc>
          <w:tcPr>
            <w:tcW w:type="dxa" w:w="3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Additional work beyond committed hours</w:t>
            </w:r>
          </w:p>
        </w:tc>
        <w:tc>
          <w:tcPr>
            <w:tcW w:type="dxa" w:w="59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$[HOURLY RATE]/hour, capped at $[MONTHLY CAP] per month unless pre-authorized in writing.</w:t>
            </w:r>
          </w:p>
        </w:tc>
      </w:tr>
      <w:tr>
        <w:tc>
          <w:tcPr>
            <w:tcW w:type="dxa" w:w="3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Travel and on-site presence</w:t>
            </w:r>
          </w:p>
        </w:tc>
        <w:tc>
          <w:tcPr>
            <w:tcW w:type="dxa" w:w="59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Pre-approved travel billed at cost per the Connvertex travel policy in Appendix B.</w:t>
            </w:r>
          </w:p>
        </w:tc>
      </w:tr>
      <w:tr>
        <w:tc>
          <w:tcPr>
            <w:tcW w:type="dxa" w:w="340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Specialist bench (pen test, cloud, IAM, DR)</w:t>
            </w:r>
          </w:p>
        </w:tc>
        <w:tc>
          <w:tcPr>
            <w:tcW w:type="dxa" w:w="5960"/>
            <w:tcBorders>
              <w:top w:val="single" w:color="E2E8F0" w:sz="4"/>
              <w:left w:val="single" w:color="E2E8F0" w:sz="4"/>
              <w:bottom w:val="single" w:color="E2E8F0" w:sz="4"/>
              <w:right w:val="single" w:color="E2E8F0" w:sz="4"/>
            </w:tcBorders>
            <w:shd w:fill="EEF2F7" w:val="clear"/>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Available under a separate SOW at the labor-category rates published in the current Connvertex rate card.</w:t>
            </w:r>
          </w:p>
        </w:tc>
      </w:tr>
      <w:tr>
        <w:tc>
          <w:tcPr>
            <w:tcW w:type="dxa" w:w="340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bCs/>
                <w:color w:val="334155"/>
                <w:sz w:val="20"/>
                <w:szCs w:val="20"/>
              </w:rPr>
              <w:t xml:space="preserve">Annual escalation</w:t>
            </w:r>
          </w:p>
        </w:tc>
        <w:tc>
          <w:tcPr>
            <w:tcW w:type="dxa" w:w="5960"/>
            <w:tcBorders>
              <w:top w:val="single" w:color="E2E8F0" w:sz="4"/>
              <w:left w:val="single" w:color="E2E8F0" w:sz="4"/>
              <w:bottom w:val="single" w:color="E2E8F0" w:sz="4"/>
              <w:right w:val="single" w:color="E2E8F0" w:sz="4"/>
            </w:tcBorders>
            <w:tcMar>
              <w:top w:type="dxa" w:w="80"/>
              <w:left w:type="dxa" w:w="120"/>
              <w:bottom w:type="dxa" w:w="80"/>
              <w:right w:type="dxa" w:w="120"/>
            </w:tcMar>
            <w:vAlign w:val="top"/>
          </w:tcPr>
          <w:p>
            <w:pPr>
              <w:spacing w:after="0" w:line="260"/>
            </w:pPr>
            <w:r>
              <w:rPr>
                <w:rFonts w:ascii="Calibri" w:cs="Calibri" w:eastAsia="Calibri" w:hAnsi="Calibri"/>
                <w:b w:val="false"/>
                <w:bCs w:val="false"/>
                <w:color w:val="334155"/>
                <w:sz w:val="20"/>
                <w:szCs w:val="20"/>
              </w:rPr>
              <w:t xml:space="preserve">Retainer and hourly rates escalate by [3%] on each anniversary of the Effective Date, absent a mutually-agreed alternative.</w:t>
            </w:r>
          </w:p>
        </w:tc>
      </w:tr>
    </w:tbl>
    <w:p>
      <w:r>
        <w:br w:type="page"/>
      </w:r>
    </w:p>
    <w:p>
      <w:pPr>
        <w:spacing w:after="60" w:before="120"/>
      </w:pPr>
      <w:r>
        <w:rPr>
          <w:rFonts w:ascii="Calibri" w:cs="Calibri" w:eastAsia="Calibri" w:hAnsi="Calibri"/>
          <w:b/>
          <w:bCs/>
          <w:color w:val="16A34A"/>
          <w:spacing w:val="60"/>
          <w:sz w:val="18"/>
          <w:szCs w:val="18"/>
        </w:rPr>
        <w:t xml:space="preserve">APPENDIX B</w:t>
      </w:r>
    </w:p>
    <w:p>
      <w:pPr>
        <w:pStyle w:val="Heading1"/>
        <w:spacing w:after="200" w:before="480"/>
      </w:pPr>
      <w:r>
        <w:rPr>
          <w:rFonts w:ascii="Calibri" w:cs="Calibri" w:eastAsia="Calibri" w:hAnsi="Calibri"/>
          <w:b/>
          <w:bCs/>
          <w:color w:val="0F1B2D"/>
          <w:sz w:val="40"/>
          <w:szCs w:val="40"/>
        </w:rPr>
        <w:t xml:space="preserve">Appendix B — Travel policy</w:t>
      </w:r>
    </w:p>
    <w:p>
      <w:pPr>
        <w:spacing w:after="120" w:line="300"/>
      </w:pPr>
      <w:r>
        <w:rPr>
          <w:rFonts w:ascii="Calibri" w:cs="Calibri" w:eastAsia="Calibri" w:hAnsi="Calibri"/>
          <w:b w:val="false"/>
          <w:bCs w:val="false"/>
          <w:i w:val="false"/>
          <w:iCs w:val="false"/>
          <w:color w:val="334155"/>
          <w:sz w:val="22"/>
          <w:szCs w:val="22"/>
        </w:rPr>
        <w:t xml:space="preserve">Reimbursable travel and out-of-pocket expense policy.</w:t>
      </w:r>
    </w:p>
    <w:p>
      <w:pPr>
        <w:spacing w:after="120" w:line="300"/>
      </w:pPr>
      <w:r>
        <w:rPr>
          <w:rFonts w:ascii="Calibri" w:cs="Calibri" w:eastAsia="Calibri" w:hAnsi="Calibri"/>
          <w:b w:val="false"/>
          <w:bCs w:val="false"/>
          <w:i w:val="false"/>
          <w:iCs w:val="false"/>
          <w:color w:val="334155"/>
          <w:sz w:val="22"/>
          <w:szCs w:val="22"/>
        </w:rPr>
        <w:t xml:space="preserve">Reasonable, pre-approved, documented out-of-pocket expenses are reimbursable at cost. Air travel is economy class. Lodging is at a business-class property not to exceed the GSA per-diem rate for the location. Ground transportation is ride-share or economy rental. Meals are billed at actuals up to the GSA per-diem rate. Receipts are provided for any single expense greater than twenty-five dollars ($25).</w:t>
      </w:r>
    </w:p>
    <w:sectPr>
      <w:headerReference w:type="default" r:id="rId7"/>
      <w:footerReference w:type="default" r:id="rId8"/>
      <w:pgSz w:w="12240" w:h="15840" w:orient="portrait"/>
      <w:pgMar w:top="1440" w:right="1440" w:bottom="16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tabs>
        <w:tab w:val="right" w:pos="9360"/>
      </w:tabs>
    </w:pPr>
    <w:r>
      <w:rPr>
        <w:rFonts w:ascii="Calibri" w:cs="Calibri" w:eastAsia="Calibri" w:hAnsi="Calibri"/>
        <w:color w:val="64748B"/>
        <w:sz w:val="16"/>
        <w:szCs w:val="16"/>
      </w:rPr>
      <w:t xml:space="preserve">Connvertex  ·  Template v1.0  ·  </w:t>
    </w:r>
    <w:r>
      <w:rPr>
        <w:rFonts w:ascii="Calibri" w:cs="Calibri" w:eastAsia="Calibri" w:hAnsi="Calibri"/>
        <w:b/>
        <w:bCs/>
        <w:color w:val="0F1B2D"/>
        <w:sz w:val="16"/>
        <w:szCs w:val="16"/>
      </w:rPr>
      <w:t xml:space="preserve">CONFIDENTIAL — Parties and Counsel only</w:t>
    </w:r>
    <w:r>
      <w:t xml:space="preserve">	Page </w:t>
    </w:r>
    <w:r>
      <w:fldChar w:fldCharType="begin"/>
      <w:instrText xml:space="preserve">PAGE</w:instrText>
      <w:fldChar w:fldCharType="separate"/>
      <w:fldChar w:fldCharType="end"/>
    </w:r>
    <w:r>
      <w:t xml:space="preserve"> of </w:t>
    </w:r>
    <w: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6" w:space="4"/>
      </w:pBdr>
      <w:tabs>
        <w:tab w:val="right" w:pos="9360"/>
      </w:tabs>
    </w:pPr>
    <w:r>
      <w:rPr>
        <w:rFonts w:ascii="Calibri" w:cs="Calibri" w:eastAsia="Calibri" w:hAnsi="Calibri"/>
        <w:b/>
        <w:bCs/>
        <w:color w:val="0F1B2D"/>
        <w:spacing w:val="80"/>
        <w:sz w:val="18"/>
        <w:szCs w:val="18"/>
      </w:rPr>
      <w:t xml:space="preserve">CONNVERTEX</w:t>
    </w:r>
    <w:r>
      <w:t xml:space="preserve">	</w:t>
    </w:r>
    <w:r>
      <w:rPr>
        <w:rFonts w:ascii="Calibri" w:cs="Calibri" w:eastAsia="Calibri" w:hAnsi="Calibri"/>
        <w:color w:val="64748B"/>
        <w:sz w:val="18"/>
        <w:szCs w:val="18"/>
      </w:rPr>
      <w:t xml:space="preserve">vCISO Statement of Work  ·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b/>
        <w:bCs/>
        <w:color w:val="16A34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41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0F1B2D"/>
      <w:sz w:val="40"/>
      <w:szCs w:val="40"/>
    </w:rPr>
  </w:style>
  <w:style w:type="paragraph" w:styleId="Heading2">
    <w:name w:val="Heading 2"/>
    <w:basedOn w:val="Normal"/>
    <w:next w:val="Normal"/>
    <w:qFormat/>
    <w:pPr>
      <w:spacing w:after="120" w:before="360"/>
      <w:outlineLvl w:val="1"/>
    </w:pPr>
    <w:rPr>
      <w:rFonts w:ascii="Calibri" w:cs="Calibri" w:eastAsia="Calibri" w:hAnsi="Calibri"/>
      <w:b/>
      <w:bCs/>
      <w:color w:val="0F1B2D"/>
      <w:sz w:val="30"/>
      <w:szCs w:val="30"/>
    </w:rPr>
  </w:style>
  <w:style w:type="paragraph" w:styleId="Heading3">
    <w:name w:val="Heading 3"/>
    <w:basedOn w:val="Normal"/>
    <w:next w:val="Normal"/>
    <w:qFormat/>
    <w:pPr>
      <w:spacing w:after="80" w:before="240"/>
      <w:outlineLvl w:val="2"/>
    </w:pPr>
    <w:rPr>
      <w:rFonts w:ascii="Calibri" w:cs="Calibri" w:eastAsia="Calibri" w:hAnsi="Calibri"/>
      <w:b/>
      <w:bCs/>
      <w:color w:val="0F1B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Connvertex vCISO Statement of Work Template</dc:title>
  <dc:subject>Standard-tier vCISO SOW template, SOC 2 + HIPAA framing.</dc:subject>
  <dc:creator>Connvertex</dc:creator>
  <dc:description>Editable DOCX template for Connvertex vCISO engagements.</dc:description>
  <cp:lastModifiedBy>Un-named</cp:lastModifiedBy>
  <cp:revision>1</cp:revision>
  <dcterms:created xsi:type="dcterms:W3CDTF">2026-04-21T22:27:40.936Z</dcterms:created>
  <dcterms:modified xsi:type="dcterms:W3CDTF">2026-04-21T22:27:40.937Z</dcterms:modified>
</cp:coreProperties>
</file>

<file path=docProps/custom.xml><?xml version="1.0" encoding="utf-8"?>
<Properties xmlns="http://schemas.openxmlformats.org/officeDocument/2006/custom-properties" xmlns:vt="http://schemas.openxmlformats.org/officeDocument/2006/docPropsVTypes"/>
</file>